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Interdictions de baignade et d'activités nautiques. Nouvelle contravention</w:t>
      </w:r>
    </w:p>
    <w:p>
      <w:pPr>
        <w:pStyle w:val="Heading2"/>
      </w:pPr>
      <w:r>
        <w:rPr/>
        <w:t xml:space="preserve">Revue - Pouvoirs de police et sécurité</w:t>
      </w:r>
    </w:p>
    <w:p>
      <w:pPr>
        <w:pStyle w:val="Heading3"/>
      </w:pPr>
      <w:r>
        <w:rPr/>
        <w:t xml:space="preserve">Source - JO</w:t>
      </w:r>
    </w:p>
    <w:p/>
    <w:p>
      <w:pPr>
        <w:spacing w:before="0" w:after="0"/>
      </w:pPr>
      <w:r>
        <w:rPr/>
        <w:t xml:space="preserve">Le décret n° 2026-723 du 1</w:t>
      </w:r>
      <w:r>
        <w:rPr>
          <w:vertAlign w:val="superscript"/>
        </w:rPr>
        <w:t xml:space="preserve">er</w:t>
      </w:r>
      <w:r>
        <w:rPr/>
        <w:t xml:space="preserve"> août 2026 prévoit une contravention de la 3</w:t>
      </w:r>
      <w:r>
        <w:rPr>
          <w:vertAlign w:val="superscript"/>
        </w:rPr>
        <w:t xml:space="preserve">e</w:t>
      </w:r>
      <w:r>
        <w:rPr/>
        <w:t xml:space="preserve"> classe (68 €) ayant pour objet de réprimer la baignade ou la pratique d'activités nautiques dans des zones faisant l'objet d'une mesure d'interdiction et prévoit le recours à l'amende forfaitaire.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2026-09-25T00:50:30+02:00</dcterms:created>
  <dcterms:modified xsi:type="dcterms:W3CDTF">2026-09-25T00:50:30+02:00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