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Loi RIPOST. Phénomènes troublant l'ordre public, la sécurité et la tranquillité (rave-parties, rodéos motorisés, squats et occupations illicites)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>
        <w:spacing w:before="0" w:after="0"/>
      </w:pPr>
      <w:r>
        <w:rPr/>
        <w:t xml:space="preserve">La loi n° 2026‑798 du 18 août 2026 tend à apporter des réponses immédiates aux phénomènes troublant l'ordre public, la sécurité et la tranquillité des citoyens. Le titre I</w:t>
      </w:r>
      <w:r>
        <w:rPr>
          <w:vertAlign w:val="superscript"/>
        </w:rPr>
        <w:t xml:space="preserve">er</w:t>
      </w:r>
      <w:r>
        <w:rPr/>
        <w:t xml:space="preserve">, composé des articles 1 à 24, porte sur la lutte contre les nuisances et la délinquance du quotidien. </w:t>
      </w:r>
    </w:p>
    <w:p>
      <w:pPr>
        <w:numPr>
          <w:ilvl w:val="0"/>
          <w:numId w:val="4"/>
        </w:numPr>
      </w:pPr>
      <w:hyperlink r:id="rId7" w:history="1">
        <w:r>
          <w:rPr>
            <w:color w:val="0A1A6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B8E6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aviecommunale.fr/bases-de-donnees-juridiques/pouvoirs-de-police-et-securite?section=21237&amp;nid=1466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2026-09-25T00:46:58+02:00</dcterms:created>
  <dcterms:modified xsi:type="dcterms:W3CDTF">2026-09-25T00:46:58+02:00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