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Sonnerie des cloches. Appréciation du trouble à l’ordre public. Fréquence</w:t>
      </w:r>
    </w:p>
    <w:p>
      <w:pPr>
        <w:pStyle w:val="Heading2"/>
      </w:pPr>
      <w:r>
        <w:rPr/>
        <w:t xml:space="preserve">Revue - Pouvoirs de police et sécurité</w:t>
      </w:r>
    </w:p>
    <w:p>
      <w:pPr>
        <w:pStyle w:val="Heading3"/>
      </w:pPr>
      <w:r>
        <w:rPr/>
        <w:t xml:space="preserve">Source - Jurisprudence</w:t>
      </w:r>
    </w:p>
    <w:p/>
    <w:p>
      <w:pPr>
        <w:spacing w:before="0" w:after="0"/>
      </w:pPr>
      <w:r>
        <w:rPr/>
        <w:t xml:space="preserve">Le maire doit, au titre de sa police générale, prendre les mesures appropriées contre les bruits excessifs troublant la tranquillité publique. Pour les cloches d’église, l’intensité sonore peut être appréciée au regard des seuils d’émergence du code de la santé publique, mais le trouble doit être apprécié globalement selon l’intensité, la fréquence, la durée et les horaires des sonneries.</w:t>
      </w:r>
    </w:p>
    <w:p>
      <w:pPr>
        <w:spacing w:before="0" w:after="0"/>
      </w:pPr>
      <w:r>
        <w:rPr/>
        <w:t xml:space="preserve">Dans une commune, les sonneries des cloches dépassaient très fortement les seuils acoustiques, mais ne sonnaient que deux fois par jour, à 12 h et 19 h, pendant environ 3 minutes au total. </w:t>
      </w:r>
    </w:p>
    <w:p>
      <w:pPr/>
      <w:r>
        <w:rPr/>
        <w:t xml:space="preserve">Le tribunal estime que cette faible fréquence et cette durée limitée ne caractérisent pas une atteinte suffisante à la tranquillité publique : le maire pouvait donc légalement refuser d’intervenir (TA Pau, 15 septembre 2026, </w:t>
      </w:r>
      <w:r>
        <w:rPr>
          <w:i w:val="1"/>
          <w:iCs w:val="1"/>
        </w:rPr>
        <w:t xml:space="preserve">commune de Capbreton</w:t>
      </w:r>
      <w:r>
        <w:rPr/>
        <w:t xml:space="preserve">, n° 2201404).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2026-09-25T00:45:56+02:00</dcterms:created>
  <dcterms:modified xsi:type="dcterms:W3CDTF">2026-09-25T00:45:56+02:00</dcterms:modified>
</cp:coreProperties>
</file>

<file path=docProps/custom.xml><?xml version="1.0" encoding="utf-8"?>
<Properties xmlns="http://schemas.openxmlformats.org/officeDocument/2006/custom-properties" xmlns:vt="http://schemas.openxmlformats.org/officeDocument/2006/docPropsVTypes"/>
</file>