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Prime régalienne accordée au maire. Nécessité d’une instruction en vue de son versement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>
        <w:spacing w:before="0" w:after="0"/>
      </w:pPr>
      <w:r>
        <w:rPr/>
        <w:t xml:space="preserve">L'article 198 de la loi n° 2026-103 du 19 février 2026 de finances pour 2026 a institué, à </w:t>
      </w:r>
      <w:hyperlink r:id="rId7" w:history="1">
        <w:r>
          <w:rPr>
            <w:color w:val="427EF6"/>
          </w:rPr>
          <w:t xml:space="preserve">l'article L 2122-27-1</w:t>
        </w:r>
      </w:hyperlink>
      <w:r>
        <w:rPr/>
        <w:t xml:space="preserve"> du code général des collectivités territoriales, une reconnaissance des attributions exercées par les maires au nom de l'État sous la forme d'un versement annuel de 554 € au maire, après avoir été versé aux communes dans le cadre défini par </w:t>
      </w:r>
      <w:hyperlink r:id="rId8" w:history="1">
        <w:r>
          <w:rPr>
            <w:color w:val="427EF6"/>
          </w:rPr>
          <w:t xml:space="preserve">l'article L 2335-1-1</w:t>
        </w:r>
      </w:hyperlink>
      <w:r>
        <w:rPr/>
        <w:t xml:space="preserve"> du même code afin d'assurer la neutralité financière de ce dispositif pour les communes. </w:t>
      </w:r>
    </w:p>
    <w:p>
      <w:pPr/>
      <w:r>
        <w:rPr/>
        <w:t xml:space="preserve">Les services de l'État finalisent la note d'information à destination des préfets en vue d'en préciser les modalités d'application et de préparer le versement de cette dotation de reconnaissance, qui constitue une dépense obligatoire, afin qu'elle puisse bénéficier à l'ensemble des maires dans les prochaines semaines (</w:t>
      </w:r>
      <w:r>
        <w:rPr>
          <w:i w:val="1"/>
          <w:iCs w:val="1"/>
        </w:rPr>
        <w:t xml:space="preserve">JO </w:t>
      </w:r>
      <w:r>
        <w:rPr/>
        <w:t xml:space="preserve">Sénat, 03.09.2026, question n° 08586, p. 4143).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3526281" TargetMode="External"/><Relationship Id="rId8" Type="http://schemas.openxmlformats.org/officeDocument/2006/relationships/hyperlink" Target="https://www.legifrance.gouv.fr/codes/article_lc/LEGIARTI000053526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2026-09-15T20:53:55+02:00</dcterms:created>
  <dcterms:modified xsi:type="dcterms:W3CDTF">2026-09-15T20:53:55+02:00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