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Simplification de l'action publique locale et des normes. Méga-décret. Mesures en matière d'urbanisme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>
        <w:spacing w:before="0" w:after="0"/>
      </w:pPr>
      <w:r>
        <w:rPr/>
        <w:t xml:space="preserve">À la suite notamment des propositions transmises par les préfets dans le cadre des processus « France simplification » et « Roquelaure de la simplification », le décret n° 2026-674 du 27 juillet 2026 décline plusieurs mesures de simplification de l'action publique locale et des normes applicables aux collectivités territoriales et à leurs groupements. Certaines concernent l'urbanisme. </w:t>
      </w:r>
    </w:p>
    <w:p>
      <w:pPr>
        <w:numPr>
          <w:ilvl w:val="0"/>
          <w:numId w:val="4"/>
        </w:numPr>
      </w:pPr>
      <w:hyperlink r:id="rId7" w:history="1">
        <w:r>
          <w:rPr/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6C9B845"/>
    <w:multiLevelType w:val="hybridMultilevel"/>
    <w:lvl w:ilvl="0">
      <w:start w:val="1"/>
      <w:numFmt w:val="decimal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aviecommunale.fr/bases-de-donnees-juridiques/urbanisme?section=20210&amp;nid=146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2026-09-04T06:00:50+02:00</dcterms:created>
  <dcterms:modified xsi:type="dcterms:W3CDTF">2026-09-04T06:00:50+02:00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