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Transfert de la compétence eau. EPCI. Budget annexe. Transfert automatique de l’excédent budgétaire (non)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Jurisprudence</w:t>
      </w:r>
    </w:p>
    <w:p/>
    <w:p>
      <w:pPr>
        <w:spacing w:before="0" w:after="0"/>
      </w:pPr>
      <w:r>
        <w:rPr/>
        <w:t xml:space="preserve">Le transfert de la compétence « eau potable » à un EPCI n'entraîne pas automatiquement le transfert de l'excédent du budget annexe du service. Cet excédent ne constitue ni un bien nécessaire au service, ni un droit ou une obligation attaché à la compétence. Son transfert suppose donc un accord exprès entre la commune et l'EPCI. En outre, une délibération refusant ce transfert n'a pas à être motivée.</w:t>
      </w:r>
    </w:p>
    <w:p>
      <w:pPr>
        <w:spacing w:before="0" w:after="0"/>
      </w:pPr>
      <w:r>
        <w:rPr/>
        <w:t xml:space="preserve">En l'espèce, une commune a refusé de transférer à une communauté d'agglomération 50 % de l'excédent du budget annexe de son service d'eau, malgré le transfert de la compétence et la mise à disposition des biens. Les investissements déjà réalisés ou à venir par l'EPCI sont sans incidence sur cette règle. </w:t>
      </w:r>
    </w:p>
    <w:p>
      <w:pPr/>
      <w:r>
        <w:rPr/>
        <w:t xml:space="preserve">La cour confirme ainsi la légalité du refus de la commune (CAA Nancy, 11 juin 2026, </w:t>
      </w:r>
      <w:r>
        <w:rPr>
          <w:i w:val="1"/>
          <w:iCs w:val="1"/>
        </w:rPr>
        <w:t xml:space="preserve">commune de La Haye</w:t>
      </w:r>
      <w:r>
        <w:rPr/>
        <w:t xml:space="preserve">, n° 23NC02279).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2026-07-09T19:43:05+02:00</dcterms:created>
  <dcterms:modified xsi:type="dcterms:W3CDTF">2026-07-09T19:43:05+02:00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