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Visites médicales. Périodicité</w:t>
      </w:r>
    </w:p>
    <w:p>
      <w:pPr>
        <w:pStyle w:val="Heading2"/>
      </w:pPr>
      <w:r>
        <w:rPr/>
        <w:t xml:space="preserve">Revue - Fonction Publique Territoriale</w:t>
      </w:r>
    </w:p>
    <w:p>
      <w:pPr>
        <w:pStyle w:val="Heading3"/>
      </w:pPr>
      <w:r>
        <w:rPr/>
        <w:t xml:space="preserve">Source - JO AN - JO Sénat</w:t>
      </w:r>
    </w:p>
    <w:p/>
    <w:p>
      <w:pPr>
        <w:spacing w:before="0" w:after="0"/>
      </w:pPr>
      <w:r>
        <w:rPr/>
        <w:t xml:space="preserve">Le décret n° 2025-1193 du 8 décembre 2025 relatif à la périodicité de la visite médicale d'information et de prévention pour les agents de la fonction publique territoriale permet d'adapter le rythme des visites médicales en fonction des besoins. </w:t>
      </w:r>
    </w:p>
    <w:p>
      <w:pPr/>
      <w:r>
        <w:rPr/>
        <w:t xml:space="preserve">Ainsi, pour les agents qui ne sont pas considérés comme étant à risque, elles auront lieu dorénavant tous les 5 ans afin de permettre à ceux qui sont considérés comme étant à risque, notamment les personnes en situation de handicap, les femmes enceintes, les agents souffrant de pathologies particulières, les agents bénéficiant d'un réaménagement de poste ou d'une période de préparation au reclassement de bénéficier d'un suivi plus soutenu, avec une visite intermédiaire tous les 2 ans par un professionnel de santé, ainsi que d'une visite d'information et de prévention par un médecin du travail tous les 4 ans (</w:t>
      </w:r>
      <w:r>
        <w:rPr>
          <w:i w:val="1"/>
          <w:iCs w:val="1"/>
        </w:rPr>
        <w:t xml:space="preserve">JO </w:t>
      </w:r>
      <w:r>
        <w:rPr/>
        <w:t xml:space="preserve">AN, 12.05.2026, question n° 8027, p. 4098).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2026-07-07T21:19:14+02:00</dcterms:created>
  <dcterms:modified xsi:type="dcterms:W3CDTF">2026-07-07T21:19:14+02:00</dcterms:modified>
</cp:coreProperties>
</file>

<file path=docProps/custom.xml><?xml version="1.0" encoding="utf-8"?>
<Properties xmlns="http://schemas.openxmlformats.org/officeDocument/2006/custom-properties" xmlns:vt="http://schemas.openxmlformats.org/officeDocument/2006/docPropsVTypes"/>
</file>