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du maire. Compétence du premier adjoint pour signer un sursis à statuer. Sursis à statuer fondé sur la révision du PLU et les orientations du PADD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Après le débat sur les orientations générales du projet d'aménagement et de développement durables (PADD), l'autorité compétente peut légalement opposer un sursis à statuer à une demande de permis de construire lorsque le projet est de nature à compromettre ou à rendre plus onéreuse l'exécution du futur PLU, dès lors que les orientations du PADD traduisent un état suffisamment avancé de ce plan (</w:t>
      </w:r>
      <w:hyperlink r:id="rId7" w:history="1">
        <w:r>
          <w:rPr/>
          <w:t xml:space="preserve">art. L 153-11</w:t>
        </w:r>
      </w:hyperlink>
      <w:r>
        <w:rPr/>
        <w:t xml:space="preserve"> du certificat d'urbanisme). </w:t>
      </w:r>
    </w:p>
    <w:p>
      <w:pPr/>
      <w:r>
        <w:rPr/>
        <w:t xml:space="preserve">Par ailleurs, en application de </w:t>
      </w:r>
      <w:hyperlink r:id="rId8" w:history="1">
        <w:r>
          <w:rPr/>
          <w:t xml:space="preserve">l'article L 2122-17</w:t>
        </w:r>
      </w:hyperlink>
      <w:r>
        <w:rPr/>
        <w:t xml:space="preserve"> du CGCT, le premier adjoint peut remplacer le maire absent pour signer un acte dont l'édiction ne peut être différée sans faire naître une décision tacite.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tribunal rejette le recours dirigé contre un arrêté de sursis à statuer opposé à une demande de permis de construire. Il juge que le premier adjoint était compétent pour signer la décision en l'absence du maire, afin d'éviter la naissance d'un permis tacite. </w:t>
      </w:r>
    </w:p>
    <w:p>
      <w:pPr/>
      <w:r>
        <w:rPr/>
        <w:t xml:space="preserve">Il estime également que le projet, situé dans un hameau dont le futur PLU prévoit de limiter la constructibilité, était susceptible de compromettre les objectifs du PADD, justifiant ainsi le sursis à statuer (TA Grenoble, 27 mai 2026, n° 2206455).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3973552" TargetMode="External"/><Relationship Id="rId8" Type="http://schemas.openxmlformats.org/officeDocument/2006/relationships/hyperlink" Target="https://www.legifrance.gouv.fr/codes/article_lc/LEGIARTI000006389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2026-07-03T22:14:56+02:00</dcterms:created>
  <dcterms:modified xsi:type="dcterms:W3CDTF">2026-07-03T22:14:56+02:00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