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Consignes automatiques de retrait des colis. Pouvoir du maire. Domaine public et urbanisme</w:t>
      </w:r>
    </w:p>
    <w:p>
      <w:pPr>
        <w:pStyle w:val="Heading2"/>
      </w:pPr>
      <w:r>
        <w:rPr/>
        <w:t xml:space="preserve">Revue - Vie Communale</w:t>
      </w:r>
    </w:p>
    <w:p>
      <w:pPr>
        <w:pStyle w:val="Heading3"/>
      </w:pPr>
      <w:r>
        <w:rPr/>
        <w:t xml:space="preserve">Source - JO AN - JO Sénat</w:t>
      </w:r>
    </w:p>
    <w:p/>
    <w:p>
      <w:pPr/>
      <w:r>
        <w:rPr/>
        <w:t xml:space="preserve">Certaines consignes automatiques de retrait de colis sont implantées à l'intérieur même de commerces, dans le cadre de partenariats contractuels. D'autres sont installées sur les parkings de grandes surfaces, dans des galeries commerciales, sur le domaine public communal, dans des gares ou dans des lieux de passage à forte fréquentation. </w:t>
      </w:r>
    </w:p>
    <w:p>
      <w:pPr/>
      <w:r>
        <w:rPr/>
        <w:t xml:space="preserve">Leur régime dépend en réalité de leurs caractéristiques et de leur lieu d'implantation. </w:t>
      </w:r>
    </w:p>
    <w:p>
      <w:pPr/>
      <w:r>
        <w:rPr/>
        <w:t xml:space="preserve">Lorsqu'une consigne est implantée sur le domaine public, elle est soumise à une autorisation d'occupation délivrée par l'autorité compétente, généralement la commune, qui peut en encadrer les conditions. </w:t>
      </w:r>
    </w:p>
    <w:p>
      <w:pPr/>
      <w:r>
        <w:rPr/>
        <w:t xml:space="preserve">Lorsqu'elle est installée sur un terrain privé, les règles de droit de l'urbanisme s'appliquent : selon sa surface, son emprise au sol et sa localisation, elle peut être soumise à déclaration préalable, voire à permis de construire. En secteur protégé, notamment aux abords de monuments historiques ou dans les sites patrimoniaux remarquables, des règles spécifiques peuvent également s'imposer. Les documents d'urbanisme locaux peuvent par ailleurs encadrer certaines implantations. Dans ce cadre, il appartient aux maires, au titre de leurs compétences en matière d'urbanisme et de gestion du domaine public, d'apprécier l'opportunité et les conditions d'implantation de ces équipements sur leur territoire (</w:t>
      </w:r>
      <w:r>
        <w:rPr>
          <w:i w:val="1"/>
          <w:iCs w:val="1"/>
        </w:rPr>
        <w:t xml:space="preserve">JO </w:t>
      </w:r>
      <w:r>
        <w:rPr/>
        <w:t xml:space="preserve">Sénat, 11.06.2026, question n° 07735, p. 2917).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2026-07-03T23:38:24+02:00</dcterms:created>
  <dcterms:modified xsi:type="dcterms:W3CDTF">2026-07-03T23:38:24+02:00</dcterms:modified>
</cp:coreProperties>
</file>

<file path=docProps/custom.xml><?xml version="1.0" encoding="utf-8"?>
<Properties xmlns="http://schemas.openxmlformats.org/officeDocument/2006/custom-properties" xmlns:vt="http://schemas.openxmlformats.org/officeDocument/2006/docPropsVTypes"/>
</file>