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Attributions individuelles 2026</w:t>
      </w:r>
    </w:p>
    <w:p>
      <w:pPr>
        <w:pStyle w:val="Heading2"/>
      </w:pPr>
      <w:r>
        <w:rPr/>
        <w:t xml:space="preserve">Revue - Vie Communale</w:t>
      </w:r>
    </w:p>
    <w:p>
      <w:pPr>
        <w:pStyle w:val="Heading3"/>
      </w:pPr>
      <w:r>
        <w:rPr/>
        <w:t xml:space="preserve">Source - JO</w:t>
      </w:r>
    </w:p>
    <w:p/>
    <w:p>
      <w:pPr/>
      <w:r>
        <w:rPr/>
        <w:t xml:space="preserve">Un arrêté du 11 mai 2026 fixe les attributions individuelles de la dotation particulière relative aux conditions d'exercice des mandats locaux aux collectivités territoriales au titre de l'exercice 2026, avec des montants détaillés dans des tableaux annexes consultables en ligne.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2026-07-02T21:34:47+02:00</dcterms:created>
  <dcterms:modified xsi:type="dcterms:W3CDTF">2026-07-02T21:34:47+02:00</dcterms:modified>
</cp:coreProperties>
</file>

<file path=docProps/custom.xml><?xml version="1.0" encoding="utf-8"?>
<Properties xmlns="http://schemas.openxmlformats.org/officeDocument/2006/custom-properties" xmlns:vt="http://schemas.openxmlformats.org/officeDocument/2006/docPropsVTypes"/>
</file>