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globale de fonctionnement (DGF). Méthode de calcul du linéaire de voirie communale</w:t>
      </w:r>
    </w:p>
    <w:p>
      <w:pPr>
        <w:pStyle w:val="Heading2"/>
      </w:pPr>
      <w:r>
        <w:rPr/>
        <w:t xml:space="preserve">Revue - Vie Communale</w:t>
      </w:r>
    </w:p>
    <w:p>
      <w:pPr>
        <w:pStyle w:val="Heading3"/>
      </w:pPr>
      <w:r>
        <w:rPr/>
        <w:t xml:space="preserve">Source - JO AN - JO Sénat</w:t>
      </w:r>
    </w:p>
    <w:p/>
    <w:p>
      <w:pPr>
        <w:spacing w:before="0" w:after="0"/>
      </w:pPr>
      <w:r>
        <w:rPr/>
        <w:t xml:space="preserve">La loi de finances pour 2025 a modifié les modalités de recensement de la voirie prise en compte dans le calcul de la dotation de solidarité rurale (DSR). La longueur de voirie communale « classée dans le domaine public communal » a été remplacée par les voies recensées par l'IGN (Institut national de l'information géographique et forestière) au 1</w:t>
      </w:r>
      <w:r>
        <w:rPr>
          <w:vertAlign w:val="superscript"/>
        </w:rPr>
        <w:t xml:space="preserve">er </w:t>
      </w:r>
      <w:r>
        <w:rPr/>
        <w:t xml:space="preserve">janvier de l'année de répartition. Pour la majorité des communes en France, cette méthodologie emporte une hausse de la donnée recensée.</w:t>
      </w:r>
    </w:p>
    <w:p>
      <w:pPr>
        <w:spacing w:before="0" w:after="0"/>
      </w:pPr>
      <w:r>
        <w:rPr/>
        <w:t xml:space="preserve">En effet, ce nouveau mode de recensement présente un triple avantage : </w:t>
      </w:r>
    </w:p>
    <w:p>
      <w:pPr>
        <w:spacing w:before="0" w:after="0"/>
      </w:pPr>
      <w:r>
        <w:rPr/>
        <w:t xml:space="preserve">- simplifier l'action publique en diminuant le travail de collecte de données et d'échanges entre les préfectures et les communes ; </w:t>
      </w:r>
      <w:br/>
      <w:r>
        <w:rPr/>
        <w:t xml:space="preserve">- assurer une meilleure égalité de traitement des communes du territoire national : le recours à un fournisseur de données unique et spécialisé, l'IGN, garantit la cohérence de la méthode de recensement de la voirie entre les départements ; </w:t>
      </w:r>
      <w:br/>
      <w:r>
        <w:rPr/>
        <w:t xml:space="preserve">- fiabiliser le calcul de la répartition de la DSR dans la mesure où les conseils municipaux étaient parfois en difficulté pour justifier de l'appartenance au domaine public de leur voirie. </w:t>
      </w:r>
    </w:p>
    <w:p>
      <w:pPr>
        <w:spacing w:before="0" w:after="0"/>
      </w:pPr>
      <w:r>
        <w:rPr/>
        <w:t xml:space="preserve">Plus largement, la prise en compte du critère de longueur de voirie dans la DGF, et sa composante DSR, n'a pas vocation à compenser les charges directement liées à l'entretien des routes communales, puisque la DGF, dotation globale et libre d'emploi pour la collectivité bénéficiaire, n'a pas pour objectif de financer une politique publique particulière. L'indicateur de voirie a simplement vocation à refléter l'étendue et la dispersion de la population sur le territoire. </w:t>
      </w:r>
    </w:p>
    <w:p>
      <w:pPr>
        <w:spacing w:before="0" w:after="0"/>
      </w:pPr>
      <w:r>
        <w:rPr/>
        <w:t xml:space="preserve">Par ailleurs, pour les communes qui connaîtraient un changement significatif de la longueur de voirie recensée, cette évolution ne constitue pas le corollaire d'une diminution de la DSR, pour plusieurs raisons. La DSR fait intervenir une pluralité de critères parmi lesquels la donnée relative à la longueur de voirie est minoritaire. Ainsi, l'évolution d'une attribution au titre de cette dotation dépend à la fois de l'évolution de l'ensemble des indicateurs (potentiel financier, nombre d'enfants dans la commune, etc.) pour une commune en particulier, et de ceux, relativement, des autres communes. </w:t>
      </w:r>
    </w:p>
    <w:p>
      <w:pPr/>
      <w:r>
        <w:rPr/>
        <w:t xml:space="preserve">De surcroît, la DSR bénéficie de règles d'encadrement des variations annuelles des attributions : l'attribution d'une commune éligible ne peut être ni inférieure à 90 % ni supérieure à 120 % du montant perçu l'année précédente (</w:t>
      </w:r>
      <w:r>
        <w:rPr>
          <w:i w:val="1"/>
          <w:iCs w:val="1"/>
        </w:rPr>
        <w:t xml:space="preserve">JO </w:t>
      </w:r>
      <w:r>
        <w:rPr/>
        <w:t xml:space="preserve">Sénat, 11.06.2026, question n° 07436, p. 2928).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2026-06-16T22:25:31+02:00</dcterms:created>
  <dcterms:modified xsi:type="dcterms:W3CDTF">2026-06-16T22:25:31+02:00</dcterms:modified>
</cp:coreProperties>
</file>

<file path=docProps/custom.xml><?xml version="1.0" encoding="utf-8"?>
<Properties xmlns="http://schemas.openxmlformats.org/officeDocument/2006/custom-properties" xmlns:vt="http://schemas.openxmlformats.org/officeDocument/2006/docPropsVTypes"/>
</file>