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Fixation du tarif des caveaux. Compétence entre le maire et le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La compétence initiale de fixation des tarifs des concessions funéraires appartient au conseil municipal en vertu de </w:t>
      </w:r>
      <w:hyperlink r:id="rId7" w:history="1">
        <w:r>
          <w:rPr/>
          <w:t xml:space="preserve">l'article L 2223-15</w:t>
        </w:r>
      </w:hyperlink>
      <w:r>
        <w:rPr/>
        <w:t xml:space="preserve"> du CGCT. Cependant, </w:t>
      </w:r>
      <w:hyperlink r:id="rId8" w:history="1">
        <w:r>
          <w:rPr/>
          <w:t xml:space="preserve">l'article L 2122-22</w:t>
        </w:r>
      </w:hyperlink>
      <w:r>
        <w:rPr/>
        <w:t xml:space="preserve"> du même code autorise le maire, par délégation du conseil municipal, à fixer les tarifs des droits au profit de la commune n'ayant pas un caractère fiscal. </w:t>
      </w:r>
    </w:p>
    <w:p>
      <w:pPr/>
      <w:r>
        <w:rPr/>
        <w:t xml:space="preserve">Les sommes perçues pour les caveaux étant assimilées à des redevances de concession funéraire, elles sont considérées comme des recettes non fiscales au sens de </w:t>
      </w:r>
      <w:hyperlink r:id="rId9" w:history="1">
        <w:r>
          <w:rPr/>
          <w:t xml:space="preserve">l'article L 2331-2</w:t>
        </w:r>
      </w:hyperlink>
      <w:r>
        <w:rPr/>
        <w:t xml:space="preserve"> du CGCT. En conséquence, le maire peut recevoir délégation du conseil municipal pour fixer le tarif des caveaux. </w:t>
      </w:r>
    </w:p>
    <w:p>
      <w:pPr/>
      <w:r>
        <w:rPr/>
        <w:t xml:space="preserve">Néanmoins, lorsque la concession comporte un caveau déjà présent, la facturation doit faire apparaître séparément le prix du terrain et celui du caveau. Lorsque la commune a fait construire le caveau, le tarif doit être établi en fonction du coût de construction, à l'exclusion de tout profit financier (circulaire n° 75-160 du 15 mars 1976) (</w:t>
      </w:r>
      <w:r>
        <w:rPr>
          <w:i w:val="1"/>
          <w:iCs w:val="1"/>
        </w:rPr>
        <w:t xml:space="preserve">JO </w:t>
      </w:r>
      <w:r>
        <w:rPr/>
        <w:t xml:space="preserve">AN, 07.04.2026, question n° 11032, p. 2909).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4452" TargetMode="External"/><Relationship Id="rId8" Type="http://schemas.openxmlformats.org/officeDocument/2006/relationships/hyperlink" Target="https://www.legifrance.gouv.fr/codes/article_lc/LEGIARTI000045212383" TargetMode="External"/><Relationship Id="rId9" Type="http://schemas.openxmlformats.org/officeDocument/2006/relationships/hyperlink" Target="https://www.legifrance.gouv.fr/codes/article_lc/LEGIARTI000029736490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2026-07-25T01:51:51+02:00</dcterms:created>
  <dcterms:modified xsi:type="dcterms:W3CDTF">2026-07-25T01:51:51+02:00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