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Discipline. Abaissement d’échelon. Propos dénigrants sur la messagerie professionnelle (Teams)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La cour administrative d’appel a confirmé la sanction disciplinaire infligée à un agent territorial. Elle a estimé que la commune n’avait pas manqué à son obligation de loyauté en utilisant un prestataire extérieur pour récupérer des échanges professionnels sur une messagerie électronique (Teams), accidentellement partagés lors d’une réunion. </w:t>
      </w:r>
    </w:p>
    <w:p>
      <w:pPr/>
      <w:r>
        <w:rPr/>
        <w:t xml:space="preserve">Ces propos, qualifiés de dénigrants envers la hiérarchie, ont été jugés comme constituant des manquements graves aux devoirs de dignité, de réserve et d’obéissance hiérarchique. </w:t>
      </w:r>
    </w:p>
    <w:p>
      <w:pPr/>
      <w:r>
        <w:rPr/>
        <w:t xml:space="preserve">La sanction d’abaissement d’échelon et de radiation du tableau d’avancement a donc été maintenue (CAA Toulouse, 7 avril 2026, n° 24TL01209).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2026-07-01T05:58:03+02:00</dcterms:created>
  <dcterms:modified xsi:type="dcterms:W3CDTF">2026-07-01T05:58:03+02:00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