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Démission. Requalification en licenciement. Prise en compte du comportement de l’employeur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juge doit évaluer si l’acceptation d’une démission d’un agent non titulaire équivaut à un licenciement fautif. Cette appréciation repose sur le comportement de l’employeur et les raisons du départ de l’agent, notamment en cas de fautes administratives ou de manquement aux obligations contractuelles. </w:t>
      </w:r>
    </w:p>
    <w:p>
      <w:pPr/>
      <w:r>
        <w:rPr/>
        <w:t xml:space="preserve">En l'espèce, une directrice des ressources humaines a été progressivement écartée de ses fonctions, privée d’informations et dénigrée après un changement d’équipe municipale. </w:t>
      </w:r>
    </w:p>
    <w:p>
      <w:pPr/>
      <w:r>
        <w:rPr/>
        <w:t xml:space="preserve">La cour retient l’existence d’un harcèlement moral ayant entraîné un état de santé dégradé et une démission contrainte assimilée à un licenciement. La commune est condamnée à indemniser l’ensemble du préjudice à hauteur de 20 000 € (CAA Nancy, 17 mars 2026, n° 23NC00453).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2026-07-01T06:02:54+02:00</dcterms:created>
  <dcterms:modified xsi:type="dcterms:W3CDTF">2026-07-01T06:02:54+02:00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