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modificatif. Prorogation du permis initial (non)</w:t>
      </w:r>
    </w:p>
    <w:p>
      <w:pPr>
        <w:pStyle w:val="Heading2"/>
      </w:pPr>
      <w:r>
        <w:rPr/>
        <w:t xml:space="preserve">Revue - Urbanisme</w:t>
      </w:r>
    </w:p>
    <w:p>
      <w:pPr>
        <w:pStyle w:val="Heading3"/>
      </w:pPr>
      <w:r>
        <w:rPr/>
        <w:t xml:space="preserve">Source - Jurisprudence</w:t>
      </w:r>
    </w:p>
    <w:p/>
    <w:p>
      <w:pPr/>
      <w:r>
        <w:rPr/>
        <w:t xml:space="preserve">Un permis de construire modificatif n’a aucun effet sur la durée de validité du permis initial. Autrement dit, il ne prolonge pas automatiquement le délai de validité, qui continue de courir (CE, 16 avril 2026, n° 508120).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2026-05-06T14:27:59+02:00</dcterms:created>
  <dcterms:modified xsi:type="dcterms:W3CDTF">2026-05-06T14:27:59+02:00</dcterms:modified>
</cp:coreProperties>
</file>

<file path=docProps/custom.xml><?xml version="1.0" encoding="utf-8"?>
<Properties xmlns="http://schemas.openxmlformats.org/officeDocument/2006/custom-properties" xmlns:vt="http://schemas.openxmlformats.org/officeDocument/2006/docPropsVTypes"/>
</file>