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Successions vacantes.  Procédures de sortie d’indivision et de gestion. Biens sans maîtres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 2026-248 du 7 avril 2026 simplifie les procédures de sortie d’indivision et de gestion des successions vacantes. </w:t>
      </w:r>
    </w:p>
    <w:p>
      <w:pPr>
        <w:spacing w:before="0" w:after="0"/>
      </w:pPr>
      <w:hyperlink r:id="rId7" w:history="1">
        <w:r>
          <w:rPr>
            <w:color w:val="427EF6"/>
          </w:rPr>
          <w:t xml:space="preserve">L'article 1er</w:t>
        </w:r>
      </w:hyperlink>
      <w:r>
        <w:rPr/>
        <w:t xml:space="preserve"> concerne les biens sans maître et la transmission des informations. L'administration fiscale transmet au maire ou au président de l'EPCI à fiscalité propre, à leur demande, les informations nécessaires à la mise en œuvre de la procédure d'acquisition des biens mentionnés à </w:t>
      </w:r>
      <w:hyperlink r:id="rId8" w:history="1">
        <w:r>
          <w:rPr>
            <w:color w:val="427EF6"/>
          </w:rPr>
          <w:t xml:space="preserve">l'article L 1123-1</w:t>
        </w:r>
      </w:hyperlink>
      <w:r>
        <w:rPr/>
        <w:t xml:space="preserve"> (</w:t>
      </w:r>
      <w:hyperlink r:id="rId9" w:history="1">
        <w:r>
          <w:rPr>
            <w:color w:val="427EF6"/>
          </w:rPr>
          <w:t xml:space="preserve">art. L 1123-4</w:t>
        </w:r>
      </w:hyperlink>
      <w:r>
        <w:rPr/>
        <w:t xml:space="preserve"> du code de la propriété des personnes publiques).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3773160" TargetMode="External"/><Relationship Id="rId8" Type="http://schemas.openxmlformats.org/officeDocument/2006/relationships/hyperlink" Target="https://www.legifrance.gouv.fr/codes/article_lc/LEGIARTI000048846822" TargetMode="External"/><Relationship Id="rId9" Type="http://schemas.openxmlformats.org/officeDocument/2006/relationships/hyperlink" Target="https://www.legifrance.gouv.fr/codes/article_lc/LEGIARTI00005377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2026-06-08T22:34:36+02:00</dcterms:created>
  <dcterms:modified xsi:type="dcterms:W3CDTF">2026-06-08T22:34:36+02:00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