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Dépenses électorales. Remboursement des frais d'expertise comptable</w:t>
      </w:r>
    </w:p>
    <w:p>
      <w:pPr>
        <w:pStyle w:val="Heading2"/>
      </w:pPr>
      <w:r>
        <w:rPr/>
        <w:t xml:space="preserve">Revue - Vie Communale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La loi n° 2026-249 du 7 avril 2026 précise que les frais d'expertise comptable sont inscrits dans le compte de campagne et éligibles au remboursement forfaitaire de la part de l'Etat prévu à l'article L 52-11-1 (</w:t>
      </w:r>
      <w:hyperlink r:id="rId7" w:history="1">
        <w:r>
          <w:rPr/>
          <w:t xml:space="preserve">art. L 52-12</w:t>
        </w:r>
      </w:hyperlink>
      <w:r>
        <w:rPr/>
        <w:t xml:space="preserve"> du code électoral).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codes/section_lc/LEGITEXT000006070239/LEGISCTA00000614845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2026-09-22T13:51:26+02:00</dcterms:created>
  <dcterms:modified xsi:type="dcterms:W3CDTF">2026-09-22T13:51:26+02:00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