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Recours à des CDD successifs. Appréciation du caractère abusif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recours à des contrats à durée déterminée (CDD) successifs n’est pas en soi abusif lorsqu’il répond à un besoin temporaire, notamment le remplacement d’un agent absent. </w:t>
      </w:r>
    </w:p>
    <w:p>
      <w:pPr/>
      <w:r>
        <w:rPr/>
        <w:t xml:space="preserve">En l’espèce, malgré une succession de contrats pendant plus de 4 ans, la collectivité justifie ce recours par l’absence prolongée du même agent. </w:t>
      </w:r>
    </w:p>
    <w:p>
      <w:pPr/>
      <w:r>
        <w:rPr/>
        <w:t xml:space="preserve">Aucun droit au renouvellement ni à la transformation en contrat à durée indéterminée (CDI) n’existe en l’absence de texte. L’agent ne démontre pas non plus l’existence d’un préjudice. La responsabilité de la collectivité n’est donc pas engagée (CAA Paris, 8 janvier 2026, n° 24PA02206).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2026-05-26T05:33:48+02:00</dcterms:created>
  <dcterms:modified xsi:type="dcterms:W3CDTF">2026-05-26T05:33:48+02:00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