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Démission d’un adjoint. Acceptation par le maire. Incompétence. Conséquences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Est annulée la décision d’un maire ayant accepté la démission d'un adjoint, car seul le préfet est compétent pour accepter cette démission selon </w:t>
      </w:r>
      <w:hyperlink r:id="rId7" w:history="1">
        <w:r>
          <w:rPr>
            <w:color w:val="427EF6"/>
          </w:rPr>
          <w:t xml:space="preserve">l'article L 2122-15</w:t>
        </w:r>
      </w:hyperlink>
      <w:r>
        <w:rPr/>
        <w:t xml:space="preserve"> du CGCT, et en conséquence, il annule également les opérations électorales organisées avant cette acceptation (TA Nantes, 12 février 2026, n° 2522301).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89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2026-05-17T01:05:51+02:00</dcterms:created>
  <dcterms:modified xsi:type="dcterms:W3CDTF">2026-05-17T01:05:51+02:00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