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Haies. Régime unique. Instruction n° TECL2607497J du 24 mars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L'instruction technique n° TECL2607497J</w:t>
      </w:r>
      <w:r>
        <w:rPr>
          <w:i w:val="1"/>
          <w:iCs w:val="1"/>
        </w:rPr>
        <w:t xml:space="preserve"> </w:t>
      </w:r>
      <w:r>
        <w:rPr/>
        <w:t xml:space="preserve">du 24 mars 2026 présente le régime unique de la haie et les actions attendues des services déconcentrés de l’Etat, en prévision de son entrée en vigueur au 1</w:t>
      </w:r>
      <w:r>
        <w:rPr>
          <w:vertAlign w:val="superscript"/>
        </w:rPr>
        <w:t xml:space="preserve">er</w:t>
      </w:r>
      <w:r>
        <w:rPr/>
        <w:t xml:space="preserve"> juin 2026. </w:t>
      </w:r>
    </w:p>
    <w:p>
      <w:pPr>
        <w:spacing w:before="0" w:after="0"/>
      </w:pPr>
      <w:r>
        <w:rPr/>
        <w:t xml:space="preserve">Le régime unique de la haie repose sur un principe de déclaration unique systématique (</w:t>
      </w:r>
      <w:hyperlink r:id="rId7" w:history="1">
        <w:r>
          <w:rPr>
            <w:color w:val="427EF6"/>
          </w:rPr>
          <w:t xml:space="preserve">art. L 412- 22</w:t>
        </w:r>
      </w:hyperlink>
      <w:r>
        <w:rPr/>
        <w:t xml:space="preserve"> du code de l'environnement) préalable à tout projet de destruction des haies. Dans ce cadre, l’administration dispose d’un délai de 2 mois pour instruire la déclaration et s’y opposer le cas échéant. Le silence vaut absence d’opposition.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372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2026-05-17T01:07:26+02:00</dcterms:created>
  <dcterms:modified xsi:type="dcterms:W3CDTF">2026-05-17T01:07:26+02:00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