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d’un casino. Immeuble nécessaire à l’exploitation du service. Bien de retour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biens nécessaires au fonctionnement d’un service public concédé constituent des biens de retour qui appartiennent à la personne publique et doivent lui être restitués à l’expiration de la concession.</w:t>
      </w:r>
    </w:p>
    <w:p>
      <w:pPr/>
      <w:r>
        <w:rPr/>
        <w:t xml:space="preserve">À l’expiration de la concession d’un casino, une commune demandait la restitution de l’immeuble nécessaire à l’exploitation du service. </w:t>
      </w:r>
    </w:p>
    <w:p>
      <w:pPr/>
      <w:r>
        <w:rPr/>
        <w:t xml:space="preserve">Le Conseil d’État juge que ce bâtiment, affecté au service public concédé, constitue un bien de retour revenant à la commune, y compris si son propriétaire était un tiers étroitement lié au concessionnaire (CE, 4 mars 2026, n° 511285).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2026-03-23T21:30:28+01:00</dcterms:created>
  <dcterms:modified xsi:type="dcterms:W3CDTF">2026-03-23T21:30:28+01:00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