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Traitement judiciaire des infractions. Circulaire n° JUSA2605730C du 26 février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>
        <w:spacing w:before="0" w:after="0"/>
      </w:pPr>
      <w:r>
        <w:rPr/>
        <w:t xml:space="preserve">La circulaire n° JUSA2605730C</w:t>
      </w:r>
      <w:r>
        <w:rPr>
          <w:i w:val="1"/>
          <w:iCs w:val="1"/>
        </w:rPr>
        <w:t xml:space="preserve"> </w:t>
      </w:r>
      <w:r>
        <w:rPr/>
        <w:t xml:space="preserve">du ministre de la Justice du 26 février 2026 est relative au traitement judiciaire des infractions commises dans le contexte des élections municipales des 15 et 22 mars 2026.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2026-05-20T06:35:56+02:00</dcterms:created>
  <dcterms:modified xsi:type="dcterms:W3CDTF">2026-05-20T06:35:56+02:00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