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Classement des stations touristiques. Mise à jour de la procédure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 n° 2026-121 du 20 février 2026 met à jour et sécurise la procédure de classement des communes touristiques en stations classées de tourisme. </w:t>
      </w:r>
    </w:p>
    <w:p>
      <w:pPr/>
      <w:r>
        <w:rPr/>
        <w:t xml:space="preserve">Il clarifie la disposition relative à la radiation d'un meublé de tourisme de la liste des meublés de tourisme classés et il met à jour la partie réglementaire du code du tourisme en abrogeant des dispositions obsolètes. </w:t>
      </w:r>
    </w:p>
    <w:p>
      <w:pPr/>
      <w:r>
        <w:rPr/>
        <w:t xml:space="preserve">Enfin, il encadre la facturation, par Atout France, de frais d'immatriculation.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2026-03-13T22:09:19+01:00</dcterms:created>
  <dcterms:modified xsi:type="dcterms:W3CDTF">2026-03-13T22:09:19+01:00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