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révoqués pour faute grave. Indemnisation chômage (aide au retour à l'emploi)</w:t>
      </w:r>
    </w:p>
    <w:p>
      <w:pPr>
        <w:pStyle w:val="Heading2"/>
      </w:pPr>
      <w:r>
        <w:rPr/>
        <w:t xml:space="preserve">Revue - Fonction Publique Territoriale</w:t>
      </w:r>
    </w:p>
    <w:p>
      <w:pPr>
        <w:pStyle w:val="Heading3"/>
      </w:pPr>
      <w:r>
        <w:rPr/>
        <w:t xml:space="preserve">Source - JO AN - JO Sénat</w:t>
      </w:r>
    </w:p>
    <w:p/>
    <w:p>
      <w:pPr/>
      <w:r>
        <w:rPr/>
        <w:t xml:space="preserve">Conformément aux dispositions des 1° et 2° de </w:t>
      </w:r>
      <w:hyperlink r:id="rId7" w:history="1">
        <w:r>
          <w:rPr/>
          <w:t xml:space="preserve">l'article L 5424-1</w:t>
        </w:r>
      </w:hyperlink>
      <w:r>
        <w:rPr/>
        <w:t xml:space="preserve"> du code du travail, l'allocation d'aide au retour à l'emploi (ARE) est ouverte aux agents publics territoriaux (fonctionnaires et contractuels), dans les mêmes conditions que les agents du secteur privé, à savoir que l'agent a été involontairement privé d'emploi et, conformément à l'article L 5422-1, qu'il soit apte au travail et qu'il recherche un emploi qui satisfasse à des conditions d'âge et d'activité antérieure. </w:t>
      </w:r>
    </w:p>
    <w:p>
      <w:pPr/>
      <w:r>
        <w:rPr/>
        <w:t xml:space="preserve">Les cas dans lesquels un agent se verrait privé de son emploi de manière involontaire sont précisés à l'article 2 du règlement général annexé à la convention relative à l'indemnisation du chômage, ainsi qu'aux articles 2 et 3 </w:t>
      </w:r>
      <w:hyperlink r:id="rId8" w:history="1">
        <w:r>
          <w:rPr/>
          <w:t xml:space="preserve">du décret n° 2020-741</w:t>
        </w:r>
      </w:hyperlink>
      <w:r>
        <w:rPr/>
        <w:t xml:space="preserve"> du 16 juin 2020 relatif au régime particulier d'assurance chômage applicable à certains agents publics et salariés du secteur public. C'est le cas notamment pour les agents ayant fait l'objet d'un licenciement pour tout motif ou d'une radiation d'office. En effet, le juge administratif a confirmé à plusieurs reprises (CE, 25 janvier 1991, </w:t>
      </w:r>
      <w:hyperlink r:id="rId9" w:history="1">
        <w:r>
          <w:rPr/>
          <w:t xml:space="preserve">n° 97015</w:t>
        </w:r>
      </w:hyperlink>
      <w:r>
        <w:rPr/>
        <w:t xml:space="preserve"> ; CE 9 octobre 1992, </w:t>
      </w:r>
      <w:hyperlink r:id="rId10" w:history="1">
        <w:r>
          <w:rPr/>
          <w:t xml:space="preserve">n° 96359</w:t>
        </w:r>
      </w:hyperlink>
      <w:r>
        <w:rPr/>
        <w:t xml:space="preserve">) que la révocation d'un agent était constitutive, pour ce dernier, d'une privation involontaire d'emploi et donc que le licenciement pour motif disciplinaire des fonctionnaires territoriaux ne les privait pas de l'aide au retour à l'emploi (ARE). </w:t>
      </w:r>
    </w:p>
    <w:p>
      <w:pPr/>
      <w:r>
        <w:rPr/>
        <w:t xml:space="preserve">Cette allocation vise à permettre à l'agent de percevoir un moyen de subsistance en cas de perte d'emploi et dans l'attente d'un nouvel emploi. Elle doit être regardée comme un revenu d'inactivité dont la suppression ne peut pas être envisagée à titre de sanction. Il revient le cas échéant au juge pénal de prononcer les sanctions, y compris financières, à l'encontre des agents publics ayant commis une faute, notamment à la suite de la plainte formée par la commune victime de ces agissements (</w:t>
      </w:r>
      <w:r>
        <w:rPr>
          <w:i w:val="1"/>
          <w:iCs w:val="1"/>
        </w:rPr>
        <w:t xml:space="preserve">JO </w:t>
      </w:r>
      <w:r>
        <w:rPr/>
        <w:t xml:space="preserve">Sénat, 29.01.2026, question n° 06908, p. 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51954" TargetMode="External"/><Relationship Id="rId8" Type="http://schemas.openxmlformats.org/officeDocument/2006/relationships/hyperlink" Target="https://www.legifrance.gouv.fr/loda/id/JORFTEXT000042007392" TargetMode="External"/><Relationship Id="rId9" Type="http://schemas.openxmlformats.org/officeDocument/2006/relationships/hyperlink" Target="https://www.legifrance.gouv.fr/ceta/id/CETATEXT000007770144" TargetMode="External"/><Relationship Id="rId10" Type="http://schemas.openxmlformats.org/officeDocument/2006/relationships/hyperlink" Target="https://www.legifrance.gouv.fr/ceta/id/CETATEXT000007789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2026-04-29T11:55:49+02:00</dcterms:created>
  <dcterms:modified xsi:type="dcterms:W3CDTF">2026-04-29T11:55:49+02:00</dcterms:modified>
</cp:coreProperties>
</file>

<file path=docProps/custom.xml><?xml version="1.0" encoding="utf-8"?>
<Properties xmlns="http://schemas.openxmlformats.org/officeDocument/2006/custom-properties" xmlns:vt="http://schemas.openxmlformats.org/officeDocument/2006/docPropsVTypes"/>
</file>