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Loi de finances pour 2026. Pérennisation de la rupture conventionnelle et allongement du congé pathologique prénatal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La loi n° 2026-103</w:t>
      </w:r>
      <w:r>
        <w:rPr>
          <w:i w:val="1"/>
          <w:iCs w:val="1"/>
        </w:rPr>
        <w:t xml:space="preserve"> </w:t>
      </w:r>
      <w:r>
        <w:rPr/>
        <w:t xml:space="preserve">de finances pour 2026 contient deux dispositions spécifiques aux agents de la fonction publique territoriale : </w:t>
      </w:r>
    </w:p>
    <w:p>
      <w:pPr/>
      <w:r>
        <w:rPr/>
        <w:t xml:space="preserve">- la pérennisation du dispositif de la rupture conventionnelle pour les fonctionnaires titulaires à compter du 21 février 2026 (</w:t>
      </w:r>
      <w:hyperlink r:id="rId7" w:history="1">
        <w:r>
          <w:rPr/>
          <w:t xml:space="preserve">art. L 550-1</w:t>
        </w:r>
      </w:hyperlink>
      <w:r>
        <w:rPr/>
        <w:t xml:space="preserve"> du code général de la fonction publique) ;</w:t>
      </w:r>
      <w:br/>
      <w:r>
        <w:rPr/>
        <w:t xml:space="preserve">- l’allongement de la durée totale possible du congé pathologique prénatal accordé aux femmes enceintes de 14 à 21 jours à compter du 1</w:t>
      </w:r>
      <w:r>
        <w:rPr>
          <w:vertAlign w:val="superscript"/>
        </w:rPr>
        <w:t xml:space="preserve">er </w:t>
      </w:r>
      <w:r>
        <w:rPr/>
        <w:t xml:space="preserve">mars 2026 (</w:t>
      </w:r>
      <w:hyperlink r:id="rId8" w:history="1">
        <w:r>
          <w:rPr/>
          <w:t xml:space="preserve">art. L 631-3</w:t>
        </w:r>
      </w:hyperlink>
      <w:r>
        <w:rPr/>
        <w:t xml:space="preserve"> du code général de la fonction publique). Le congé pathologique postnatal est de 4 semaines.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53548445" TargetMode="External"/><Relationship Id="rId8" Type="http://schemas.openxmlformats.org/officeDocument/2006/relationships/hyperlink" Target="https://www.legifrance.gouv.fr/codes/article_lc/LEGIARTI000053548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2026-04-25T06:17:02+02:00</dcterms:created>
  <dcterms:modified xsi:type="dcterms:W3CDTF">2026-04-25T06:17:02+02:00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