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des exécutifs locaux des conseils municipaux et communautaires et fonctionnement des organes délibérants. Circulaire n° ATDB2606103C du 4 mars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ATDB2606103C du 4 mars 2026 évoque la première séance du conseil municipal et comporte un guide concernant l'élection des exécutifs locaux des conseils municipaux et communautaires (maire, adjoints, président et vice-présidents d'EPCI, etc.) lors du renouvellement général et en cours de mandat.</w:t>
      </w:r>
    </w:p>
    <w:p>
      <w:pPr/>
      <w:r>
        <w:rPr/>
        <w:t xml:space="preserve"> </w:t>
      </w:r>
    </w:p>
    <w:p>
      <w:pPr/>
      <w:r>
        <w:rPr/>
        <w:t xml:space="preserve">Dans le guide, le fonctionnement des organes délibérants est également abordé.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2026-04-25T04:48:53+02:00</dcterms:created>
  <dcterms:modified xsi:type="dcterms:W3CDTF">2026-04-25T04:48:53+02:00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