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Normes applicables aux collectivités territoriales. Simplification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À la suite notamment des propositions transmises par les préfets dans le cadre des processus « France simplification » et « Roquelaure de la simplification », les </w:t>
      </w:r>
      <w:hyperlink r:id="rId7" w:history="1">
        <w:r>
          <w:rPr/>
          <w:t xml:space="preserve">décrets n° 2026-117</w:t>
        </w:r>
      </w:hyperlink>
      <w:r>
        <w:rPr/>
        <w:t xml:space="preserve"> et </w:t>
      </w:r>
      <w:hyperlink r:id="rId8" w:history="1">
        <w:r>
          <w:rPr/>
          <w:t xml:space="preserve">n° 2026-118</w:t>
        </w:r>
      </w:hyperlink>
      <w:r>
        <w:rPr/>
        <w:t xml:space="preserve"> du 20 février 2026 déclinent plusieurs mesures de simplification de l'action publique locale et des normes applicables aux collectivités territoriales et à leurs groupements. </w:t>
      </w:r>
    </w:p>
    <w:p>
      <w:pPr>
        <w:numPr>
          <w:ilvl w:val="0"/>
          <w:numId w:val="4"/>
        </w:numPr>
      </w:pPr>
      <w:hyperlink r:id="rId9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5FA7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3523983" TargetMode="External"/><Relationship Id="rId8" Type="http://schemas.openxmlformats.org/officeDocument/2006/relationships/hyperlink" Target="https://www.legifrance.gouv.fr/loda/id/JORFTEXT000053524137" TargetMode="External"/><Relationship Id="rId9" Type="http://schemas.openxmlformats.org/officeDocument/2006/relationships/hyperlink" Target="https://www.laviecommunale.fr/bases-de-donnees-juridiques/vie-communale?section=20430&amp;nid=145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2026-03-04T01:20:37+01:00</dcterms:created>
  <dcterms:modified xsi:type="dcterms:W3CDTF">2026-03-04T01:20:37+01:00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