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Mesures concernant les collectivités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 de finances pour 2026, publiée au </w:t>
      </w:r>
      <w:r>
        <w:rPr>
          <w:i w:val="1"/>
          <w:iCs w:val="1"/>
        </w:rPr>
        <w:t xml:space="preserve">Journal officiel</w:t>
      </w:r>
      <w:r>
        <w:rPr/>
        <w:t xml:space="preserve"> le 20 février 2026, comporte plusieurs mesures concernant les collectivités territoriales. </w:t>
      </w:r>
    </w:p>
    <w:p>
      <w:pPr/>
      <w:r>
        <w:rPr/>
        <w:t xml:space="preserve">Parmi celles-ci, </w:t>
      </w:r>
      <w:hyperlink r:id="rId7" w:history="1">
        <w:r>
          <w:rPr/>
          <w:t xml:space="preserve">l’article 196</w:t>
        </w:r>
      </w:hyperlink>
      <w:r>
        <w:rPr/>
        <w:t xml:space="preserve"> concerne un prélèvement sur les recettes fiscales des EPCI à fiscalité propre, des départements et des régions. </w:t>
      </w:r>
    </w:p>
    <w:p>
      <w:pPr/>
      <w:r>
        <w:rPr/>
        <w:t xml:space="preserve">L’article 198 crée </w:t>
      </w:r>
      <w:hyperlink r:id="rId8" w:history="1">
        <w:r>
          <w:rPr/>
          <w:t xml:space="preserve">l'article L 2122-27-1</w:t>
        </w:r>
      </w:hyperlink>
      <w:r>
        <w:rPr/>
        <w:t xml:space="preserve"> du CGCT instaurant une prime pour les maires d'un montant de 554 €. </w:t>
      </w:r>
    </w:p>
    <w:p>
      <w:pPr/>
      <w:r>
        <w:rPr/>
        <w:t xml:space="preserve">Par ailleurs, la dotation globale de fonctionnement (DGF) est maintenue à son niveau de 2025.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DE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3511408/2026-02-21" TargetMode="External"/><Relationship Id="rId8" Type="http://schemas.openxmlformats.org/officeDocument/2006/relationships/hyperlink" Target="https://www.legifrance.gouv.fr/codes/article_lc/LEGIARTI000053526281" TargetMode="External"/><Relationship Id="rId9" Type="http://schemas.openxmlformats.org/officeDocument/2006/relationships/hyperlink" Target="https://www.vie-publique.fr/loi/300444-budget-de-letat-2026-projet-de-loi-de-finances-plf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2026-06-08T22:36:52+02:00</dcterms:created>
  <dcterms:modified xsi:type="dcterms:W3CDTF">2026-06-08T22:36:52+02:00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