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 automatisé externe (DAE). Obligation. Extension aux ERP de 5ᵉ catégorie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2025-1167 du 5 décembre 2025 a étendu l’obligation d’équipement en défibrillateur automatisé externe (DAE) aux ERP de 5</w:t>
      </w:r>
      <w:r>
        <w:rPr>
          <w:vertAlign w:val="superscript"/>
        </w:rPr>
        <w:t xml:space="preserve">e </w:t>
      </w:r>
      <w:r>
        <w:rPr/>
        <w:t xml:space="preserve">catégorie, sous conditions de durée d’implantation et de seuils d’accueil. Il confirme l’obligation pour les ERP de catégories 1 à 4 et impose aux propriétaires et exploitants de vérifier leur conformité. 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C5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space-droit-prevention.com/actualites/textes-nouveaux/defibrillateur-automatise-externe-dae-elargissement-de-la-liste-des-erp-de-5-categorie-concer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2026-06-08T22:35:24+02:00</dcterms:created>
  <dcterms:modified xsi:type="dcterms:W3CDTF">2026-06-08T22:35:24+02:00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