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des mariages. Lecture du code civil. Références à la parentalité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L’article 75</w:t>
        </w:r>
      </w:hyperlink>
      <w:r>
        <w:rPr/>
        <w:t xml:space="preserve"> du code civil impose à l’officier de l’état civil, lors de la célébration du mariage, de faire lecture des articles </w:t>
      </w:r>
      <w:hyperlink r:id="rId8" w:history="1">
        <w:r>
          <w:rPr/>
          <w:t xml:space="preserve">212</w:t>
        </w:r>
      </w:hyperlink>
      <w:r>
        <w:rPr/>
        <w:t xml:space="preserve">, </w:t>
      </w:r>
      <w:hyperlink r:id="rId9" w:history="1">
        <w:r>
          <w:rPr/>
          <w:t xml:space="preserve">213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 et 2), </w:t>
      </w:r>
      <w:hyperlink r:id="rId10" w:history="1">
        <w:r>
          <w:rPr/>
          <w:t xml:space="preserve">214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 et </w:t>
      </w:r>
      <w:hyperlink r:id="rId11" w:history="1">
        <w:r>
          <w:rPr/>
          <w:t xml:space="preserve">215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), et de l’article </w:t>
      </w:r>
      <w:hyperlink r:id="rId12" w:history="1">
        <w:r>
          <w:rPr/>
          <w:t xml:space="preserve">371-1</w:t>
        </w:r>
      </w:hyperlink>
      <w:r>
        <w:rPr/>
        <w:t xml:space="preserve"> du code civil. Cette lecture vise à donner une information complète aux futurs conjoints sur leurs droits et devoirs en qualité d’époux, avant de recueillir leur consentement à l’union matrimoniale.</w:t>
      </w:r>
    </w:p>
    <w:p>
      <w:pPr/>
      <w:r>
        <w:rPr/>
        <w:t xml:space="preserve">De même, la lecture des articles 213 et 371-1 du code civil relatifs à l’éducation des enfants et à l’autorité parentale, imposée par la loi n° 2002-305 du 4 mars 2002 relative à l’autorité parentale, participe de cette démarche. L’article 75 du code civil étant d’ordre public, il n’est pas possible d’y déroger.</w:t>
      </w:r>
    </w:p>
    <w:p>
      <w:pPr/>
      <w:r>
        <w:rPr/>
        <w:t xml:space="preserve">En tout état de cause, il n’est pas envisageable de permettre à l’officier de l’état civil d’apprécier l’opportunité de la lecture de certaines dispositions du code civil au vu des projets pour l’avenir des personnes qu’il doit unir (</w:t>
      </w:r>
      <w:r>
        <w:rPr>
          <w:i w:val="1"/>
          <w:iCs w:val="1"/>
        </w:rPr>
        <w:t xml:space="preserve">JO</w:t>
      </w:r>
      <w:r>
        <w:rPr/>
        <w:t xml:space="preserve"> Sénat, 04.12.2025, question n° 06496, p. 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432006" TargetMode="External"/><Relationship Id="rId8" Type="http://schemas.openxmlformats.org/officeDocument/2006/relationships/hyperlink" Target="https://www.legifrance.gouv.fr/codes/article_lc/LEGIARTI000006422735" TargetMode="External"/><Relationship Id="rId9" Type="http://schemas.openxmlformats.org/officeDocument/2006/relationships/hyperlink" Target="https://www.legifrance.gouv.fr/codes/article_lc/LEGIARTI000006422741" TargetMode="External"/><Relationship Id="rId10" Type="http://schemas.openxmlformats.org/officeDocument/2006/relationships/hyperlink" Target="https://www.legifrance.gouv.fr/codes/article_lc/LEGIARTI000006422754" TargetMode="External"/><Relationship Id="rId11" Type="http://schemas.openxmlformats.org/officeDocument/2006/relationships/hyperlink" Target="https://www.legifrance.gouv.fr/codes/article_lc/LEGIARTI000006422766/2026-02-21" TargetMode="External"/><Relationship Id="rId12" Type="http://schemas.openxmlformats.org/officeDocument/2006/relationships/hyperlink" Target="https://www.legifrance.gouv.fr/codes/article_lc/LEGIARTI000049164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2026-04-16T17:40:13+02:00</dcterms:created>
  <dcterms:modified xsi:type="dcterms:W3CDTF">2026-04-16T17:40:13+02:00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