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de simplification de l'action publique locale et des normes applicables aux collectivités territoriales 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2026-118 du 20 février 2026 portant mesures de simplification de l'action publique locale et des normes applicables aux collectivités territoriales et à leurs groupements a été publié au </w:t>
      </w:r>
      <w:r>
        <w:rPr>
          <w:i w:val="1"/>
          <w:iCs w:val="1"/>
        </w:rPr>
        <w:t xml:space="preserve">JO</w:t>
      </w:r>
      <w:r>
        <w:rPr/>
        <w:t xml:space="preserve"> du 21 février 2026.</w:t>
      </w:r>
    </w:p>
    <w:p>
      <w:pPr/>
      <w:r>
        <w:rPr/>
        <w:t xml:space="preserve">Il décline plusieurs mesures de simplification de l'action publique locale et des normes applicables aux collectivités territoriales et à leurs groupements :</w:t>
      </w:r>
    </w:p>
    <w:p>
      <w:pPr/>
      <w:r>
        <w:rPr/>
        <w:t xml:space="preserve">- il laisse aux conseils régionaux le soin de définir le nombre d'emplacements pour les vélos dans les trains de voyageurs ;</w:t>
      </w:r>
      <w:br/>
      <w:r>
        <w:rPr/>
        <w:t xml:space="preserve">- il supprime les prélèvements d'eau réalisés par l'agence régionale de santé dans les piscines publiques, laissant aux collectivités propriétaires la responsabilité de le faire ;</w:t>
      </w:r>
      <w:br/>
      <w:r>
        <w:rPr/>
        <w:t xml:space="preserve">- il augmente le seuil plafond de délégation des décisions d'admission en non-valeur pouvant être décidées par le président de l'exécutif local ;</w:t>
      </w:r>
      <w:br/>
      <w:r>
        <w:rPr/>
        <w:t xml:space="preserve">- il supprime l'obligation de publicité des postes lors des procédures de reclassement pour inaptitude bénéficiant aux fonctionnaires et aux agents contractuels de droit public des trois versants de la fonction publique ;</w:t>
      </w:r>
      <w:br/>
      <w:r>
        <w:rPr/>
        <w:t xml:space="preserve">- il facilite la délivrance de copies intégrales et extraits d'actes de l'état civil au service de l'aide sociale à l'enfance ;</w:t>
      </w:r>
      <w:br/>
      <w:r>
        <w:rPr/>
        <w:t xml:space="preserve">- enfin, il supprime l'obligation de publication au fichier immobilier des conventions à l'APL concernant les logements ordinaires des OHLM et des SEM agréées.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2026-04-15T05:33:26+02:00</dcterms:created>
  <dcterms:modified xsi:type="dcterms:W3CDTF">2026-04-15T05:33:26+02:00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