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contre un marché de maîtrise d’œuvre. Ordre des architectes. Intérêt à agir direct et certain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conseil régional de l'ordre des architectes a contesté l'attribution d'un marché public de maîtrise d'œuvre par une commune, estimant que celle-ci ne respectait pas les obligations légales de qualification d'architecte. </w:t>
      </w:r>
    </w:p>
    <w:p>
      <w:pPr/>
      <w:r>
        <w:rPr/>
        <w:t xml:space="preserve">Le Conseil d'État a rejeté le pourvoi jugeant que l'ordre des architectes ne démontrait pas un intérêt suffisamment direct et certain pour agir contre l'attribution de ce marché. </w:t>
      </w:r>
    </w:p>
    <w:p>
      <w:pPr/>
      <w:r>
        <w:rPr/>
        <w:t xml:space="preserve">Cette décision est conforme à sa jurisprudence constante selon laquelle la seule attribution d'un marché public à un prestataire déterminé ne lèse pas de façon suffisamment directe et certaine les intérêts collectifs dont les conseils régionaux de l'ordre ont la charge, les rendant irrecevables à former un recours de pleine juridiction contestant la validité d'un tel marché (CE, 30 décembre 2025, n° 506550).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2026-04-16T11:34:30+02:00</dcterms:created>
  <dcterms:modified xsi:type="dcterms:W3CDTF">2026-04-16T11:34:30+02:00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