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Honorariat. Anciens présidents d’EPCI</w:t>
      </w:r>
    </w:p>
    <w:p>
      <w:pPr>
        <w:pStyle w:val="Heading2"/>
      </w:pPr>
      <w:r>
        <w:rPr/>
        <w:t xml:space="preserve">Revue - Intercommunalité</w:t>
      </w:r>
    </w:p>
    <w:p>
      <w:pPr>
        <w:pStyle w:val="Heading3"/>
      </w:pPr>
      <w:r>
        <w:rPr/>
        <w:t xml:space="preserve">Source - JO AN - JO Sénat</w:t>
      </w:r>
    </w:p>
    <w:p/>
    <w:p>
      <w:pPr/>
      <w:r>
        <w:rPr/>
        <w:t xml:space="preserve">Conformément à </w:t>
      </w:r>
      <w:hyperlink r:id="rId7" w:history="1">
        <w:r>
          <w:rPr/>
          <w:t xml:space="preserve">l'article L 2122-35</w:t>
        </w:r>
      </w:hyperlink>
      <w:r>
        <w:rPr/>
        <w:t xml:space="preserve"> du CGCT, les anciens maires, maires délégués et adjoints qui ont exercé des fonctions municipales pendant au moins 12 ans peuvent se voir conférer l'honorariat par le préfet. Ce titre constitue une reconnaissance de l'État à l'égard d'élus qui se sont investis durablement dans la vie démocratique locale. Cette mesure de portée symbolique contribue à améliorer la reconnaissance de l'engagement local. </w:t>
      </w:r>
    </w:p>
    <w:p>
      <w:pPr/>
      <w:r>
        <w:rPr/>
        <w:t xml:space="preserve">Les anciens présidents et vice-présidents d’EPCI peuvent déjà en bénéficier en application de </w:t>
      </w:r>
      <w:hyperlink r:id="rId8" w:history="1">
        <w:r>
          <w:rPr/>
          <w:t xml:space="preserve">l'article L 5211-2</w:t>
        </w:r>
      </w:hyperlink>
      <w:r>
        <w:rPr/>
        <w:t xml:space="preserve"> du CGCT. Celui-ci rend applicable à ces élus les dispositions du chapitre II du titre II du livre Ier de la deuxième partie relatives au maire et adjoints, dont fait partie l'article L 2122-35 relatif à l'honorariat (</w:t>
      </w:r>
      <w:r>
        <w:rPr>
          <w:i w:val="1"/>
          <w:iCs w:val="1"/>
        </w:rPr>
        <w:t xml:space="preserve">JO </w:t>
      </w:r>
      <w:r>
        <w:rPr/>
        <w:t xml:space="preserve">Sénat, 15.01.2026, </w:t>
      </w:r>
      <w:hyperlink r:id="rId9" w:history="1">
        <w:r>
          <w:rPr/>
          <w:t xml:space="preserve">question n° 06015</w:t>
        </w:r>
      </w:hyperlink>
      <w:r>
        <w:rPr/>
        <w:t xml:space="preserve">, p. 160).</w:t>
      </w:r>
    </w:p>
    <w:p>
      <w:pPr/>
      <w:r>
        <w:rPr/>
        <w:t xml:space="preserve"> </w:t>
      </w:r>
    </w:p>
    <w:p>
      <w:pPr/>
      <w:r>
        <w:rPr>
          <w:b w:val="1"/>
          <w:bCs w:val="1"/>
          <w:i w:val="1"/>
          <w:iCs w:val="1"/>
        </w:rPr>
        <w:t xml:space="preserve">NDLR :</w:t>
      </w:r>
      <w:r>
        <w:rPr>
          <w:i w:val="1"/>
          <w:iCs w:val="1"/>
        </w:rPr>
        <w:t xml:space="preserve"> jusqu'au 24 décembre 2025 (date d'entrée en vigueur de la loi n° 2025-1249 du 22 décembre 2025 portant création d'un statut de l'élu local), l'honorariat était attribué au bout de 18 ans de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153350" TargetMode="External"/><Relationship Id="rId8" Type="http://schemas.openxmlformats.org/officeDocument/2006/relationships/hyperlink" Target="https://www.legifrance.gouv.fr/codes/article_lc/LEGIARTI000024040229" TargetMode="External"/><Relationship Id="rId9" Type="http://schemas.openxmlformats.org/officeDocument/2006/relationships/hyperlink" Target="https://www.senat.fr/questions/base/2025/qSEQ2508060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2026-04-01T01:43:18+02:00</dcterms:created>
  <dcterms:modified xsi:type="dcterms:W3CDTF">2026-04-01T01:43:18+02:00</dcterms:modified>
</cp:coreProperties>
</file>

<file path=docProps/custom.xml><?xml version="1.0" encoding="utf-8"?>
<Properties xmlns="http://schemas.openxmlformats.org/officeDocument/2006/custom-properties" xmlns:vt="http://schemas.openxmlformats.org/officeDocument/2006/docPropsVTypes"/>
</file>