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Hébergements touristiques. Sécurisation et simplification du classement</w:t>
      </w:r>
    </w:p>
    <w:p>
      <w:pPr>
        <w:pStyle w:val="Heading2"/>
      </w:pPr>
      <w:r>
        <w:rPr/>
        <w:t xml:space="preserve">Revue - Intercommunalité</w:t>
      </w:r>
    </w:p>
    <w:p>
      <w:pPr>
        <w:pStyle w:val="Heading3"/>
      </w:pPr>
      <w:r>
        <w:rPr/>
        <w:t xml:space="preserve">Source - JO</w:t>
      </w:r>
    </w:p>
    <w:p/>
    <w:p>
      <w:pPr/>
      <w:r>
        <w:rPr/>
        <w:t xml:space="preserve">Le décret n° 2026-14 du 14 janvier 2026 sécurise la procédure de classement des hébergements touristiques marchands (hôtels, auberges collectives, résidences de tourisme, villages de vacances, terrains de camping ou de caravanage et autres terrains aménagés ainsi que parcs résidentiels de loisirs) par l'organisme mentionné à </w:t>
      </w:r>
      <w:hyperlink r:id="rId7" w:history="1">
        <w:r>
          <w:rPr/>
          <w:t xml:space="preserve">l'article L 141-2</w:t>
        </w:r>
      </w:hyperlink>
      <w:r>
        <w:rPr/>
        <w:t xml:space="preserve"> du code du tourisme (Atout France), d'une part en clarifiant la situation de compétence liée d'Atout France, d'autre part en fixant les conditions de renouvellement du classement. </w:t>
      </w:r>
    </w:p>
    <w:p>
      <w:pPr/>
      <w:r>
        <w:rPr/>
        <w:t xml:space="preserve">Le décret assouplit les conditions de classement des résidences de tourisme de plus de 9 ans. </w:t>
      </w:r>
    </w:p>
    <w:p>
      <w:pPr/>
      <w:r>
        <w:rPr/>
        <w:t xml:space="preserve">Il clarifie également les conditions d'équipement des emplacements des terrains de camping aménagés et la définition des « tentes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0404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2026-02-13T00:19:52+01:00</dcterms:created>
  <dcterms:modified xsi:type="dcterms:W3CDTF">2026-02-13T00:19:52+01:00</dcterms:modified>
</cp:coreProperties>
</file>

<file path=docProps/custom.xml><?xml version="1.0" encoding="utf-8"?>
<Properties xmlns="http://schemas.openxmlformats.org/officeDocument/2006/custom-properties" xmlns:vt="http://schemas.openxmlformats.org/officeDocument/2006/docPropsVTypes"/>
</file>