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d'un complément indemnitaire annuel (CIA) d’une valeur de 0 €. Sanction déguisée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L’autorité territoriale peut déterminer le montant des indemnités et primes d’un fonctionnaire en fonction de sa manière de servir et de son engagement professionnel ; cette décision, même si elle réduit la rémunération, ne constitue pas une sanction disciplinaire et n’a donc pas à respecter les procédures disciplinaires prévues par la loi.</w:t>
      </w:r>
    </w:p>
    <w:p>
      <w:pPr/>
      <w:r>
        <w:rPr/>
        <w:t xml:space="preserve">En l'espèce, un maire a fixé à zéro euro le complément indemnitaire annuel d’un agent en raison de sa suspension et de rappels à l’ordre. </w:t>
      </w:r>
    </w:p>
    <w:p>
      <w:pPr/>
      <w:r>
        <w:rPr/>
        <w:t xml:space="preserve">La cour rejette la demande et confirme que cette décision ne constitue pas une sanction déguisée (CAA Toulouse, 2 février 2026, n° 24TL00489).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2026-02-12T00:15:24+01:00</dcterms:created>
  <dcterms:modified xsi:type="dcterms:W3CDTF">2026-02-12T00:15:24+01:00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