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Notion d’usage d'habitation. Réunion de locaux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local est considéré à usage d’habitation s’il était effectivement affecté à cet usage au 1</w:t>
      </w:r>
      <w:r>
        <w:rPr>
          <w:vertAlign w:val="superscript"/>
        </w:rPr>
        <w:t xml:space="preserve">er</w:t>
      </w:r>
      <w:r>
        <w:rPr/>
        <w:t xml:space="preserve"> janvier 1970, indépendamment du respect des normes de décence ou d’habitabilité de l’époque. </w:t>
      </w:r>
    </w:p>
    <w:p>
      <w:pPr/>
      <w:r>
        <w:rPr/>
        <w:t xml:space="preserve">La Cour de cassation précise en effet qu’un local affecté à l’habitation à cette date ne perd pas cette qualification lorsqu’il est ultérieurement réuni à un autre local, quel que soit l’usage de ce dernier (Cass., 16 octobre 2025, n° 24-13058).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2026-05-20T06:38:46+02:00</dcterms:created>
  <dcterms:modified xsi:type="dcterms:W3CDTF">2026-05-20T06:38:46+02:00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