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Distribution de tracts sur un marché. Arrêté d'interdiction. Annulation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 l'arrêté municipal interdisant le tractage sur le marché forain car cette mesure porte une atteinte disproportionnée à la liberté d'expression, sans être justifiée par des nécessités d'ordre public ou d'hygiène, en violation des principes de nécessité, d'adaptation et de proportionnalité posés par la Constitution et la jurisprudence administrative. </w:t>
      </w:r>
    </w:p>
    <w:p>
      <w:pPr/>
      <w:r>
        <w:rPr/>
        <w:t xml:space="preserve">Le juge rappelle que les restrictions aux libertés fondamentales doivent être strictement motivées et fondées sur des risques avérés, conformément à </w:t>
      </w:r>
      <w:hyperlink r:id="rId7" w:history="1">
        <w:r>
          <w:rPr/>
          <w:t xml:space="preserve">l'article L 2212-2</w:t>
        </w:r>
      </w:hyperlink>
      <w:r>
        <w:rPr/>
        <w:t xml:space="preserve"> du CGCT (TA Lyon, 13 janvier 2026, n° 2505257).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2026-04-04T05:49:09+02:00</dcterms:created>
  <dcterms:modified xsi:type="dcterms:W3CDTF">2026-04-04T05:49:09+02:00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