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données numériques de mobilité. Autorités organisatrices des mobilités (AOM)</w:t>
      </w:r>
    </w:p>
    <w:p>
      <w:pPr>
        <w:pStyle w:val="Heading2"/>
      </w:pPr>
      <w:r>
        <w:rPr/>
        <w:t xml:space="preserve">Revue - Intercommunalité</w:t>
      </w:r>
    </w:p>
    <w:p>
      <w:pPr>
        <w:pStyle w:val="Heading3"/>
      </w:pPr>
      <w:r>
        <w:rPr/>
        <w:t xml:space="preserve">Source - JO</w:t>
      </w:r>
    </w:p>
    <w:p/>
    <w:p>
      <w:pPr/>
      <w:r>
        <w:rPr/>
        <w:t xml:space="preserve">Le décret n° 2025-1224 du 15 décembre 2025 détermine les modalités d'application de </w:t>
      </w:r>
      <w:hyperlink r:id="rId7" w:history="1">
        <w:r>
          <w:rPr/>
          <w:t xml:space="preserve">l'article L 1214-8-3</w:t>
        </w:r>
      </w:hyperlink>
      <w:r>
        <w:rPr/>
        <w:t xml:space="preserve"> du code des transports relatif à l'accès accordé aux autorité organisatrice des mobilités (AOM) aux données pertinentes issues des services numériques d'assistance au déplacement pour la connaissance des mobilités relevant de leur ressort territorial.</w:t>
      </w:r>
    </w:p>
    <w:p>
      <w:pPr/>
      <w:r>
        <w:rPr/>
        <w:t xml:space="preserve">Ce dispositif vise à améliorer l'efficacité des politiques publiques de mobilité, et notamment des plans de mobilité élaborés par les AOM, en leur ouvrant l’accès aux données détenues par les services numériques d'assistance au déplacement (entendre les calculateurs d’itinéraires tels que Google Maps, ViaMichelin, Mappy, Waze ou TomTom).</w:t>
      </w:r>
    </w:p>
    <w:p>
      <w:pPr/>
      <w:r>
        <w:rPr/>
        <w:t xml:space="preserve">L'objectif est de permettre aux AOM d’avoir davantage d’informations sur les déplacements réalisés dans leur ressort territorial, et ce, afin de promouvoir des alternatives pertinentes à l'usage exclusif du véhicule individuel, particulièrement dans les zones à faibles émissions mobilité, et d'évaluer l'impact des stratégies de report modal, notamment l'adéquation des parcs de rabattement.</w:t>
      </w:r>
    </w:p>
    <w:p>
      <w:pPr/>
      <w:r>
        <w:rPr/>
        <w:t xml:space="preserve">Les données devront ainsi être anonymisées pour répondre aux recommandations de la Commission nationale de l'informatique et des libertés (CNIL). Une compensation financière pour les coûts liés à cette anonymisation des données peut d'ailleurs être obtenue par les services numériques d'assistance au déplacement. Les informations ainsi mises à disposition des AOM devront être présentées dans un format aisément utilisable et exploitable par un système de traitement automatisé et dont la spécification est publique et accessible à tous.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2026-04-24T17:21:48+02:00</dcterms:created>
  <dcterms:modified xsi:type="dcterms:W3CDTF">2026-04-24T17:21:48+02:00</dcterms:modified>
</cp:coreProperties>
</file>

<file path=docProps/custom.xml><?xml version="1.0" encoding="utf-8"?>
<Properties xmlns="http://schemas.openxmlformats.org/officeDocument/2006/custom-properties" xmlns:vt="http://schemas.openxmlformats.org/officeDocument/2006/docPropsVTypes"/>
</file>