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spéciale d’absence. Attribution pour des soins liés au handicap. Illégalité</w:t>
      </w:r>
    </w:p>
    <w:p>
      <w:pPr>
        <w:pStyle w:val="Heading2"/>
      </w:pPr>
      <w:r>
        <w:rPr/>
        <w:t xml:space="preserve">Revue - Fonction Publique Territoriale</w:t>
      </w:r>
    </w:p>
    <w:p>
      <w:pPr>
        <w:pStyle w:val="Heading3"/>
      </w:pPr>
      <w:r>
        <w:rPr/>
        <w:t xml:space="preserve">Source - Jurisprudence</w:t>
      </w:r>
    </w:p>
    <w:p/>
    <w:p>
      <w:pPr/>
      <w:r>
        <w:rPr/>
        <w:t xml:space="preserve">Les autorisations spéciales d’absence, au même titre que les congés, constituent un élément du statut des fonctionnaires, dont les modalités ne peuvent être définies que par la loi ou par décret en Conseil d’État. Dès lors, une collectivité territoriale ou un établissement public local ne peut légalement créer, par voie délibérative, un nouveau régime d’autorisations spéciales d’absence non prévu par les textes en vigueur.</w:t>
      </w:r>
    </w:p>
    <w:p>
      <w:pPr/>
      <w:r>
        <w:rPr/>
        <w:t xml:space="preserve">Il en résulte que des autorisations spéciales d’absence liées à la réalisation de soins en rapport avec le handicap n’entrent dans aucune des hypothèses prévues par la loi et ne peuvent être légalement instituées, y compris par le chef de service dans le silence des textes (TA Toulouse, 10 décembre 2025, n° 2407324).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2026-07-25T03:10:56+02:00</dcterms:created>
  <dcterms:modified xsi:type="dcterms:W3CDTF">2026-07-25T03:10:56+02:00</dcterms:modified>
</cp:coreProperties>
</file>

<file path=docProps/custom.xml><?xml version="1.0" encoding="utf-8"?>
<Properties xmlns="http://schemas.openxmlformats.org/officeDocument/2006/custom-properties" xmlns:vt="http://schemas.openxmlformats.org/officeDocument/2006/docPropsVTypes"/>
</file>