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Élections professionnelles. Modalités d’organisation</w:t>
      </w:r>
    </w:p>
    <w:p>
      <w:pPr>
        <w:pStyle w:val="Heading2"/>
      </w:pPr>
      <w:r>
        <w:rPr/>
        <w:t xml:space="preserve">Revue - Fonction Publique Territoriale</w:t>
      </w:r>
    </w:p>
    <w:p>
      <w:pPr>
        <w:pStyle w:val="Heading3"/>
      </w:pPr>
      <w:r>
        <w:rPr/>
        <w:t xml:space="preserve">Source - JO</w:t>
      </w:r>
    </w:p>
    <w:p/>
    <w:p>
      <w:pPr/>
      <w:r>
        <w:rPr/>
        <w:t xml:space="preserve">Le décret n° 2025-1430 du 30 décembre 2025 simplifie et harmonise certaines règles relatives à l'organisation des élections professionnelles et modifie la composition des instances de dialogue social dans la fonction publique, notamment en rapprochant les dispositions applicables aux trois versants et aux différentes instances concernées. </w:t>
      </w:r>
    </w:p>
    <w:p>
      <w:pPr/>
      <w:r>
        <w:rPr/>
        <w:t xml:space="preserve">L'article 3 du décret n° 2025-1430 modifie </w:t>
      </w:r>
      <w:hyperlink r:id="rId7" w:history="1">
        <w:r>
          <w:rPr/>
          <w:t xml:space="preserve">l'article R 211-40</w:t>
        </w:r>
      </w:hyperlink>
      <w:r>
        <w:rPr/>
        <w:t xml:space="preserve"> du code général de la fonction publique (CGFP). Cette modification prévoit que les agents titulaires d'un emploi fonctionnel exerçant leurs fonctions dans la collectivité territoriale ou l'établissement public auprès duquel le comité social territorial est placé ne peuvent être élus au comité social territorial.</w:t>
      </w:r>
    </w:p>
    <w:p>
      <w:pPr/>
      <w:r>
        <w:rPr/>
        <w:t xml:space="preserve">L'article 4 modifie </w:t>
      </w:r>
      <w:hyperlink r:id="rId8" w:history="1">
        <w:r>
          <w:rPr/>
          <w:t xml:space="preserve">l'article R 211-41 </w:t>
        </w:r>
      </w:hyperlink>
      <w:r>
        <w:rPr/>
        <w:t xml:space="preserve">du CGFP. Désormais, par dérogation pour les collectivités, les listes de candidats peuvent comprendre un nombre de noms égal au plus au double du nombre total de sièges à pourvoir.</w:t>
      </w:r>
    </w:p>
    <w:p>
      <w:pPr/>
      <w:r>
        <w:rPr/>
        <w:t xml:space="preserve">L'article 7 du décret modifie </w:t>
      </w:r>
      <w:hyperlink r:id="rId9" w:history="1">
        <w:r>
          <w:rPr/>
          <w:t xml:space="preserve">l'article R 211-62</w:t>
        </w:r>
      </w:hyperlink>
      <w:r>
        <w:rPr/>
        <w:t xml:space="preserve"> du CGFP en modifiant le délai à 8 jours francs pour informer le délégué de liste en cas de candidatures sur une liste reconnues inéligibles. Cela concerne le CST, la CAP et CCP.</w:t>
      </w:r>
    </w:p>
    <w:p>
      <w:pPr/>
      <w:r>
        <w:rPr/>
        <w:t xml:space="preserve">L'article 14 du décret modifie </w:t>
      </w:r>
      <w:hyperlink r:id="rId10" w:history="1">
        <w:r>
          <w:rPr/>
          <w:t xml:space="preserve">l'article R 211-138</w:t>
        </w:r>
      </w:hyperlink>
      <w:r>
        <w:rPr/>
        <w:t xml:space="preserve"> du CGFP. Désormais, le procès-verbal récapitulant l'ensemble des opérations préfectorales doit mentionner le nombre de votes blancs et la répartition des sièges entre les listes. Cela concerne le CST, la CAP et CCP.</w:t>
      </w:r>
    </w:p>
    <w:p>
      <w:pPr/>
      <w:r>
        <w:rPr/>
        <w:t xml:space="preserve">Ces dispositions entrent en vigueur en vue du prochain renouvellement général des instances de dialogue social dans la fonction publique, en décembre 2026.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3315685/2026-12-10" TargetMode="External"/><Relationship Id="rId8" Type="http://schemas.openxmlformats.org/officeDocument/2006/relationships/hyperlink" Target="https://www.legifrance.gouv.fr/codes/article_lc/LEGIARTI000053315719/2026-12-10" TargetMode="External"/><Relationship Id="rId9" Type="http://schemas.openxmlformats.org/officeDocument/2006/relationships/hyperlink" Target="https://www.legifrance.gouv.fr/codes/article_lc/LEGIARTI000053315765/2026-12-10" TargetMode="External"/><Relationship Id="rId10" Type="http://schemas.openxmlformats.org/officeDocument/2006/relationships/hyperlink" Target="https://www.legifrance.gouv.fr/codes/article_lc/LEGIARTI000053315837/2026-12-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2026-01-22T12:14:45+01:00</dcterms:created>
  <dcterms:modified xsi:type="dcterms:W3CDTF">2026-01-22T12:14:45+01:00</dcterms:modified>
</cp:coreProperties>
</file>

<file path=docProps/custom.xml><?xml version="1.0" encoding="utf-8"?>
<Properties xmlns="http://schemas.openxmlformats.org/officeDocument/2006/custom-properties" xmlns:vt="http://schemas.openxmlformats.org/officeDocument/2006/docPropsVTypes"/>
</file>