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Élections municipales et communautaires 2026. Mémento à l'usage du candidat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 mémento à l'usage des candidats pour les élections municipales et communautaires 2026 vient d’être publié</w:t>
      </w:r>
    </w:p>
    <w:p>
      <w:pPr/>
      <w:r>
        <w:rPr/>
        <w:t xml:space="preserve">Il rappelle les délais et les règles spécifiques à la campagne électorale, notamment les démarches à effectuer pour candidater à ces élections.</w:t>
      </w:r>
    </w:p>
    <w:p>
      <w:pPr/>
      <w:r>
        <w:rPr/>
        <w:t xml:space="preserve">Enfin, ses annexes comprennent un calendrier des opérations préparatoires au scrutin et un ensemble de formulaires utiles à la prise de candidature.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2026-04-26T14:09:41+02:00</dcterms:created>
  <dcterms:modified xsi:type="dcterms:W3CDTF">2026-04-26T14:09:41+02:00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