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 fermé. Modification des statuts. Contribution financière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les syndicats mixtes fermés, l’accord des collectivités membres sur la modification des statuts doit être exprès et, en l’absence de délibération d’un membre dans le délai de 3 mois, son avis est réputé défavorable et doit respecter la majorité qualifiée prévue par </w:t>
      </w:r>
      <w:hyperlink r:id="rId7" w:history="1">
        <w:r>
          <w:rPr/>
          <w:t xml:space="preserve">l’article L 5211-5</w:t>
        </w:r>
      </w:hyperlink>
      <w:r>
        <w:rPr/>
        <w:t xml:space="preserve"> du CGCT.</w:t>
      </w:r>
    </w:p>
    <w:p>
      <w:pPr/>
      <w:r>
        <w:rPr/>
        <w:t xml:space="preserve">Par ailleurs, la contribution financière des membres doit reposer sur des critères objectifs tels que la population, l'intérêt du service ou les capacités contributives telles que prévues à </w:t>
      </w:r>
      <w:hyperlink r:id="rId8" w:history="1">
        <w:r>
          <w:rPr/>
          <w:t xml:space="preserve">l’article L 5711-1</w:t>
        </w:r>
      </w:hyperlink>
      <w:r>
        <w:rPr/>
        <w:t xml:space="preserve"> du CGCT (CAA Lyon, 20 novembre 2025, n° 23LY02344).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537937" TargetMode="External"/><Relationship Id="rId8" Type="http://schemas.openxmlformats.org/officeDocument/2006/relationships/hyperlink" Target="https://www.legifrance.gouv.fr/codes/section_lc/LEGITEXT000006070633/LEGISCTA0000061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2026-07-25T03:10:04+02:00</dcterms:created>
  <dcterms:modified xsi:type="dcterms:W3CDTF">2026-07-25T03:10:04+02:00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