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RTT. Attribution liée à l’ancienneté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L’organe délibérant d’une collectivité territoriale peut aménager la durée annuelle de travail de ses agents uniquement en fonction des sujétions liées à la nature de leurs missions et des cycles de travail qui en résultent.</w:t>
      </w:r>
    </w:p>
    <w:p>
      <w:pPr/>
      <w:r>
        <w:rPr/>
        <w:t xml:space="preserve">Par délibération, un conseil municipal a introduit une sujétion d’engagement et de continuité de service public, attribuant 1 ou 2 jours supplémentaires de RTT selon l’ancienneté des agents.</w:t>
      </w:r>
    </w:p>
    <w:p>
      <w:pPr/>
      <w:r>
        <w:rPr/>
        <w:t xml:space="preserve">Cette dérogation repose sur un critère d’ancienneté, sans lien avec la nature des missions ou les cycles de travail des agents. La cour confirme l’annulation (CAA Nancy, 12 novembre 2025, n° 23NC01228).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2026-04-24T22:14:37+02:00</dcterms:created>
  <dcterms:modified xsi:type="dcterms:W3CDTF">2026-04-24T22:14:37+02:00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