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public.  Délai de recours contentieux. Publication de l'avis d’attribution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délai de recours contentieux contre un contrat de délégation de service public court à compter de la publication de l'avis d'attribution, même si le contrat n'est pas encore conclu, conformément aux exigences de publicité prévues par le code de la commande publique. </w:t>
      </w:r>
    </w:p>
    <w:p>
      <w:pPr/>
      <w:r>
        <w:rPr/>
        <w:t xml:space="preserve">En l'espèce, la demande était donc tardive et irrecevable (CAA Lyon, 6 novembre 2025, n° 24LY00109).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2026-01-22T12:14:46+01:00</dcterms:created>
  <dcterms:modified xsi:type="dcterms:W3CDTF">2026-01-22T12:14:46+01:00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