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Crémation des restes mortels. Absence d’information préalable des tiers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L’absence d'information préalable aux tiers sur la crémation des restes mortels lors des reprises de sépultures en terrain commun, bien que contraire à la Constitution selon le Conseil constitutionnel, ne peut être invoquée pour contester des mesures prises avant la modification de </w:t>
      </w:r>
      <w:hyperlink r:id="rId7" w:history="1">
        <w:r>
          <w:rPr/>
          <w:t xml:space="preserve">l’article L 2223-4</w:t>
        </w:r>
      </w:hyperlink>
      <w:r>
        <w:rPr/>
        <w:t xml:space="preserve"> du CGCT prévue au plus tard au 31 décembre 2025.</w:t>
      </w:r>
    </w:p>
    <w:p>
      <w:pPr/>
      <w:r>
        <w:rPr/>
        <w:t xml:space="preserve">En l’espèce, le fils d’une défunte contestait la crémation des restes de sa mère exhumés d’un terrain commun sans qu’il ait été informé. </w:t>
      </w:r>
    </w:p>
    <w:p>
      <w:pPr/>
      <w:r>
        <w:rPr/>
        <w:t xml:space="preserve">En ne déduisant pas de la seule présence d'une étoile de David sur la stèle de la défunte une opposition attestée de sa part à la crémation de ses restes mortels, quand bien même ce signe était susceptible de témoigner de sa religion juive, le maire n’a pas commis de faute.</w:t>
      </w:r>
    </w:p>
    <w:p>
      <w:pPr/>
      <w:r>
        <w:rPr/>
        <w:t xml:space="preserve">Par ailleurs, la législation alors applicable ne prévoyait aucune obligation d’information (CE, 17 octobre 2025, </w:t>
      </w:r>
      <w:r>
        <w:rPr>
          <w:i w:val="1"/>
          <w:iCs w:val="1"/>
        </w:rPr>
        <w:t xml:space="preserve">ville de Paris</w:t>
      </w:r>
      <w:r>
        <w:rPr/>
        <w:t xml:space="preserve">, n° 492642).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2026-06-13T23:07:04+02:00</dcterms:created>
  <dcterms:modified xsi:type="dcterms:W3CDTF">2026-06-13T23:07:04+02:00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