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Contestation d’une élection municipale. Profession de foi : mauvais format et recours à l’intelligence artificielle (IA)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d’État a rejeté la requête d’un candidat battu aux élections municipales confirmant la régularité du scrutin. </w:t>
      </w:r>
    </w:p>
    <w:p>
      <w:pPr/>
      <w:r>
        <w:rPr>
          <w:b w:val="1"/>
          <w:bCs w:val="1"/>
        </w:rPr>
        <w:t xml:space="preserve">1. </w:t>
      </w:r>
      <w:r>
        <w:rPr/>
        <w:t xml:space="preserve">Le format de la profession de foi de la liste élue était de type A3 alors que les dispositions de </w:t>
      </w:r>
      <w:hyperlink r:id="rId7" w:history="1">
        <w:r>
          <w:rPr/>
          <w:t xml:space="preserve">l'article R 29</w:t>
        </w:r>
      </w:hyperlink>
      <w:r>
        <w:rPr/>
        <w:t xml:space="preserve"> du code électoral prévoient un format de type A4 ; cette seule circonstance n'est pas, eu égard notamment à la teneur de ce document, de nature à être regardée comme constitutive d'une manœuvre susceptible de fausser les résultats de l'élection.</w:t>
      </w:r>
    </w:p>
    <w:p>
      <w:pPr/>
      <w:r>
        <w:rPr>
          <w:b w:val="1"/>
          <w:bCs w:val="1"/>
        </w:rPr>
        <w:t xml:space="preserve">2.</w:t>
      </w:r>
      <w:r>
        <w:rPr/>
        <w:t xml:space="preserve"> Le requérant soutient que la liste élue a eu recours à l'intelligence artificielle (IA) pour rédiger sa profession de foi, et que cette méthode a pu tromper les électeurs sur l'origine de ses propositions politiques ; une telle circonstance est, à la supposer établie, sans incidence sur la régularité des opérations électorales (CE, 15 octobre 2025, n° 505407).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62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2026-06-13T19:14:23+02:00</dcterms:created>
  <dcterms:modified xsi:type="dcterms:W3CDTF">2026-06-13T19:14:23+02:00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