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Aires de jeux. Sécurisation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L'installation d'une aire de jeux doit répondre aux exigences de sécurité fixées par</w:t>
      </w:r>
      <w:hyperlink r:id="rId7" w:history="1">
        <w:r>
          <w:rPr/>
          <w:t xml:space="preserve"> le décret n° 96-1136</w:t>
        </w:r>
      </w:hyperlink>
      <w:r>
        <w:rPr/>
        <w:t xml:space="preserve"> du 18 décembre 1996 parmi lesquelles figurent des exigences particulières d'aménagement, de manière à protéger les utilisateurs et les tiers contre les risques liés à la circulation de véhicules.</w:t>
      </w:r>
      <w:br/>
      <w:r>
        <w:rPr/>
        <w:t xml:space="preserve"> </w:t>
      </w:r>
      <w:br/>
      <w:r>
        <w:rPr/>
        <w:t xml:space="preserve"> Ainsi, </w:t>
      </w:r>
      <w:hyperlink r:id="rId8" w:history="1">
        <w:r>
          <w:rPr/>
          <w:t xml:space="preserve">l'article 2</w:t>
        </w:r>
      </w:hyperlink>
      <w:r>
        <w:rPr/>
        <w:t xml:space="preserve"> du décret précité prévoit que : « Les aires collectives de jeux doivent être conçues, implantées, aménagées, équipées et entretenues de manière à ne pas présenter de risques pour la sécurité et la santé de leurs usagers dans le cadre d'une utilisation normale ou raisonnablement prévisible. Peuvent seules être mises à la disposition des enfants, à titre gratuit ou à titre onéreux, les aires collectives de jeux qui respectent les prescriptions de sécurité définies à l'annexe du présent décret ».</w:t>
      </w:r>
    </w:p>
    <w:p>
      <w:pPr/>
      <w:r>
        <w:rPr/>
        <w:t xml:space="preserve">Parmi les prescriptions de sécurité définies dans </w:t>
      </w:r>
      <w:hyperlink r:id="rId9" w:history="1">
        <w:r>
          <w:rPr/>
          <w:t xml:space="preserve">l'annexe</w:t>
        </w:r>
      </w:hyperlink>
      <w:r>
        <w:rPr/>
        <w:t xml:space="preserve"> de ce décret figure celle prévue au point </w:t>
      </w:r>
      <w:r>
        <w:rPr>
          <w:i w:val="1"/>
          <w:iCs w:val="1"/>
        </w:rPr>
        <w:t xml:space="preserve">a)</w:t>
      </w:r>
      <w:r>
        <w:rPr/>
        <w:t xml:space="preserve"> du 1) du II : « L'accès immédiat de l'aire de jeux doit être aménagé de façon à protéger les utilisateurs et les tiers contre les risques liés à la circulation des véhicules à moteur ».</w:t>
      </w:r>
    </w:p>
    <w:p>
      <w:pPr/>
      <w:r>
        <w:rPr/>
        <w:t xml:space="preserve">Enfin, la note d'information n° 1881 du 3 juillet 1997 rédigée par l'Observatoire national de la sécurité des établissements scolaires et d'enseignement supérieur fournit des orientations complémentaires quant à la problématique liée à la proximité d'un axe routier. Elle précise que : « Les usagers des aires collectives de jeux doivent être protégés des risques liés à l'environnement de l'aire. Ceci suppose que l'aire elle-même soit protégée de la circulation des véhicules à moteur. Une clôture peut l'entourer et un affichage spécial peut mentionner que l'aire collective de jeux est interdite aussi aux deux-roues ». « Lorsqu'elle existe, la clôture (…) doit être installée au-delà des périmètres de sécurité de chaque équipement » (</w:t>
      </w:r>
      <w:r>
        <w:rPr>
          <w:i w:val="1"/>
          <w:iCs w:val="1"/>
        </w:rPr>
        <w:t xml:space="preserve">JO </w:t>
      </w:r>
      <w:r>
        <w:rPr/>
        <w:t xml:space="preserve">Sénat, 26.06.2025, question n° 04076, p. 3632).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00550187" TargetMode="External"/><Relationship Id="rId8" Type="http://schemas.openxmlformats.org/officeDocument/2006/relationships/hyperlink" Target="https://www.legifrance.gouv.fr/loda/article_lc/LEGIARTI000006574263" TargetMode="External"/><Relationship Id="rId9" Type="http://schemas.openxmlformats.org/officeDocument/2006/relationships/hyperlink" Target="https://www.legifrance.gouv.fr/loda/article_lc/LEGIARTI00000657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2026-03-09T23:40:11+01:00</dcterms:created>
  <dcterms:modified xsi:type="dcterms:W3CDTF">2026-03-09T23:40:11+01:00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