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Variantes. Introduction en cours de procédure. Procédure irrégulière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L’acheteur, en autorisant par courriel la présentation de variantes en cours de procédure, alors que le règlement de la consultation les interdisait, sans définir les exigences minimales prévues par </w:t>
      </w:r>
      <w:hyperlink r:id="rId7" w:history="1">
        <w:r>
          <w:rPr/>
          <w:t xml:space="preserve">l’article R 2151-9</w:t>
        </w:r>
      </w:hyperlink>
      <w:r>
        <w:rPr/>
        <w:t xml:space="preserve"> du code de la commande publique, a entaché d’irrégularité la procédure de passation (TA Montreuil, 4 juin 2025, n° 2507398).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3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2026-06-13T20:50:30+02:00</dcterms:created>
  <dcterms:modified xsi:type="dcterms:W3CDTF">2026-06-13T20:50:30+02:00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