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d’un chemin rural. Absence de mise en demeure d'un propriétaire riverain. Annulation de la procédure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</w:t>
      </w:r>
      <w:hyperlink r:id="rId7" w:history="1">
        <w:r>
          <w:rPr/>
          <w:t xml:space="preserve">l’article L 161-10</w:t>
        </w:r>
      </w:hyperlink>
      <w:r>
        <w:rPr/>
        <w:t xml:space="preserve"> du code rural et de la pêche maritime, lorsqu’un chemin rural cesse d’être affecté à l’usage du public, tous les propriétaires riverains doivent être mis en demeure de l’acquérir avant toute cession. Cette formalité constitue une garantie substantielle destinée à assurer leur information et leur possibilité de présenter une offre d’achat.</w:t>
      </w:r>
    </w:p>
    <w:p>
      <w:pPr/>
      <w:r>
        <w:rPr/>
        <w:t xml:space="preserve">La cour juge que la commune a omis de mettre en demeure un propriétaire riverain avant de régulariser la cession d’un chemin rural, méconnaissant ainsi l’article L 161-10 précité.</w:t>
      </w:r>
    </w:p>
    <w:p>
      <w:pPr/>
      <w:r>
        <w:rPr/>
        <w:t xml:space="preserve">La délibération est annulée et la commune doit reprendre la procédure de vente dans les règles (CAA Toulouse, 30 septembre 2025, n° 23TL02973).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58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2026-03-09T23:16:03+01:00</dcterms:created>
  <dcterms:modified xsi:type="dcterms:W3CDTF">2026-03-09T23:16:03+01:00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