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Fixation du nombre de vice-présidents. Modification du règlement intérieur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communautaire peut, par délibération, modifier son règlement intérieur pour fixer le nombre de vice-présidents, dans les limites prévues par le CGCT.</w:t>
      </w:r>
    </w:p>
    <w:p>
      <w:pPr/>
      <w:r>
        <w:rPr/>
        <w:t xml:space="preserve">En l’espèce, une communauté de communes avait fixé, dans son règlement intérieur, un nombre de vice-présidents. Par la suite, le conseil communautaire a pris une délibération modifiant le nombre de vice-présidents au sein de la communauté. Des élus ont contesté cette délibération car elle serait non conforme au règlement intérieur.</w:t>
      </w:r>
    </w:p>
    <w:p>
      <w:pPr/>
      <w:r>
        <w:rPr/>
        <w:t xml:space="preserve">Le tribunal administratif confirme la légalité en indiquant que cette délibération emporte modification du règlement intérieur (TA Nantes, 24 septembre 2025,</w:t>
      </w:r>
      <w:r>
        <w:rPr>
          <w:i w:val="1"/>
          <w:iCs w:val="1"/>
        </w:rPr>
        <w:t xml:space="preserve"> communauté de communes de l'Ile de Noirmoutier,</w:t>
      </w:r>
      <w:r>
        <w:rPr/>
        <w:t xml:space="preserve"> n° 2216536).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2026-04-24T20:45:10+02:00</dcterms:created>
  <dcterms:modified xsi:type="dcterms:W3CDTF">2026-04-24T20:45:10+02:00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